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Cs w:val="26"/>
          <w:highlight w:val="none"/>
        </w:rPr>
      </w:pPr>
      <w:r>
        <w:rPr>
          <w:rFonts w:hint="eastAsia" w:ascii="宋体" w:hAnsi="宋体" w:eastAsia="宋体" w:cs="宋体"/>
          <w:szCs w:val="26"/>
          <w:highlight w:val="none"/>
        </w:rPr>
        <w:t xml:space="preserve"> </w:t>
      </w:r>
      <w:r/>
    </w:p>
    <w:p>
      <w:pPr>
        <w:rPr>
          <w:rFonts w:hint="eastAsia" w:ascii="宋体" w:hAnsi="宋体" w:eastAsia="宋体" w:cs="宋体"/>
          <w:szCs w:val="26"/>
          <w:highlight w:val="none"/>
        </w:rPr>
      </w:pPr>
      <w:r>
        <w:rPr>
          <w:rFonts w:hint="eastAsia" w:ascii="宋体" w:hAnsi="宋体" w:eastAsia="宋体" w:cs="宋体"/>
          <w:szCs w:val="26"/>
          <w:highlight w:val="none"/>
        </w:rPr>
      </w:r>
      <w:r/>
    </w:p>
    <w:p>
      <w:pPr>
        <w:rPr>
          <w:rFonts w:hint="eastAsia" w:ascii="宋体" w:hAnsi="宋体" w:eastAsia="宋体" w:cs="宋体"/>
          <w:szCs w:val="26"/>
          <w:highlight w:val="none"/>
        </w:rPr>
      </w:pPr>
      <w:r>
        <w:rPr>
          <w:rFonts w:hint="eastAsia" w:ascii="宋体" w:hAnsi="宋体" w:eastAsia="宋体" w:cs="宋体"/>
          <w:szCs w:val="26"/>
          <w:highlight w:val="none"/>
        </w:rPr>
      </w:r>
      <w:r/>
    </w:p>
    <w:p>
      <w:pPr>
        <w:jc w:val="center"/>
        <w:rPr>
          <w:rFonts w:hint="eastAsia" w:ascii="宋体" w:hAnsi="宋体" w:eastAsia="宋体" w:cs="宋体"/>
          <w:szCs w:val="26"/>
          <w:highlight w:val="none"/>
        </w:rPr>
      </w:pPr>
      <w:r>
        <w:rPr>
          <w:rFonts w:hint="eastAsia" w:ascii="宋体" w:hAnsi="宋体" w:eastAsia="宋体" w:cs="宋体"/>
          <w:szCs w:val="26"/>
          <w:highlight w:val="none"/>
        </w:rPr>
      </w:r>
      <w:r/>
    </w:p>
    <w:p>
      <w:pPr>
        <w:jc w:val="both"/>
        <w:rPr>
          <w:rFonts w:hint="eastAsia" w:ascii="宋体" w:hAnsi="宋体" w:eastAsia="宋体" w:cs="宋体"/>
          <w:b/>
          <w:sz w:val="84"/>
          <w:szCs w:val="84"/>
          <w:highlight w:val="none"/>
        </w:rPr>
      </w:pPr>
      <w:r>
        <w:rPr>
          <w:rFonts w:hint="eastAsia" w:ascii="宋体" w:hAnsi="宋体" w:eastAsia="宋体" w:cs="宋体"/>
          <w:b/>
          <w:sz w:val="84"/>
          <w:szCs w:val="84"/>
          <w:highlight w:val="none"/>
        </w:rPr>
        <w:t xml:space="preserve">   苏州市政府采购</w:t>
      </w:r>
      <w:r/>
    </w:p>
    <w:p>
      <w:pPr>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r>
      <w:r/>
    </w:p>
    <w:p>
      <w:pPr>
        <w:jc w:val="center"/>
        <w:rPr>
          <w:rFonts w:hint="eastAsia" w:ascii="宋体" w:hAnsi="宋体" w:eastAsia="宋体" w:cs="宋体"/>
          <w:b/>
          <w:sz w:val="72"/>
          <w:highlight w:val="none"/>
        </w:rPr>
      </w:pPr>
      <w:r>
        <w:rPr>
          <w:rFonts w:hint="eastAsia" w:ascii="宋体" w:hAnsi="宋体" w:eastAsia="宋体" w:cs="宋体"/>
          <w:b/>
          <w:sz w:val="84"/>
          <w:szCs w:val="84"/>
          <w:highlight w:val="none"/>
        </w:rPr>
        <w:t xml:space="preserve">招 标 文 件</w:t>
      </w:r>
      <w:r/>
    </w:p>
    <w:p>
      <w:pPr>
        <w:jc w:val="center"/>
        <w:rPr>
          <w:rFonts w:hint="eastAsia" w:ascii="宋体" w:hAnsi="宋体" w:eastAsia="宋体" w:cs="宋体"/>
          <w:szCs w:val="26"/>
          <w:highlight w:val="none"/>
        </w:rPr>
      </w:pPr>
      <w:r>
        <w:rPr>
          <w:rFonts w:hint="eastAsia" w:ascii="宋体" w:hAnsi="宋体" w:eastAsia="宋体" w:cs="宋体"/>
          <w:szCs w:val="26"/>
          <w:highlight w:val="none"/>
        </w:rPr>
      </w:r>
      <w:r/>
    </w:p>
    <w:p>
      <w:pPr>
        <w:rPr>
          <w:rFonts w:hint="eastAsia" w:ascii="宋体" w:hAnsi="宋体" w:eastAsia="宋体" w:cs="宋体"/>
          <w:szCs w:val="26"/>
          <w:highlight w:val="none"/>
        </w:rPr>
      </w:pPr>
      <w:r>
        <w:rPr>
          <w:rFonts w:hint="eastAsia" w:ascii="宋体" w:hAnsi="宋体" w:eastAsia="宋体" w:cs="宋体"/>
          <w:szCs w:val="26"/>
          <w:highlight w:val="none"/>
        </w:rPr>
      </w:r>
      <w:r/>
    </w:p>
    <w:p>
      <w:pPr>
        <w:ind w:firstLine="1285"/>
        <w:spacing w:line="36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标    号：</w:t>
      </w:r>
      <w:r>
        <w:rPr>
          <w:rFonts w:hint="eastAsia" w:ascii="宋体" w:hAnsi="宋体" w:eastAsia="宋体" w:cs="宋体"/>
          <w:b/>
          <w:bCs/>
          <w:sz w:val="32"/>
          <w:highlight w:val="none"/>
          <w:lang w:eastAsia="zh-CN"/>
        </w:rPr>
        <w:t xml:space="preserve">JSZC-320506104-BSYY-G2025-000</w:t>
      </w:r>
      <w:r>
        <w:rPr>
          <w:rFonts w:hint="eastAsia" w:ascii="宋体" w:hAnsi="宋体" w:eastAsia="宋体" w:cs="宋体"/>
          <w:b/>
          <w:bCs/>
          <w:sz w:val="32"/>
          <w:highlight w:val="none"/>
          <w:lang w:eastAsia="zh-CN"/>
        </w:rPr>
        <w:t xml:space="preserve">7</w:t>
      </w:r>
      <w:r/>
    </w:p>
    <w:p>
      <w:pPr>
        <w:ind w:firstLine="1285"/>
        <w:spacing w:line="36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ascii="宋体" w:hAnsi="宋体" w:eastAsia="宋体" w:cs="宋体"/>
          <w:b/>
          <w:spacing w:val="-6"/>
          <w:sz w:val="32"/>
          <w:highlight w:val="none"/>
          <w:lang w:eastAsia="zh-CN"/>
        </w:rPr>
        <w:t xml:space="preserve">苏州市吴中区光福镇人民政府</w:t>
      </w:r>
      <w:r/>
    </w:p>
    <w:p>
      <w:pPr>
        <w:ind w:left="2885" w:hanging="1606"/>
        <w:spacing w:line="360" w:lineRule="auto"/>
        <w:rPr>
          <w:rFonts w:hint="eastAsia" w:ascii="宋体" w:hAnsi="宋体" w:eastAsia="宋体" w:cs="宋体"/>
          <w:b/>
          <w:bCs/>
          <w:sz w:val="32"/>
          <w:szCs w:val="22"/>
          <w:highlight w:val="none"/>
          <w:lang w:eastAsia="zh-CN"/>
        </w:rPr>
      </w:pPr>
      <w:r>
        <w:rPr>
          <w:rFonts w:hint="eastAsia" w:ascii="宋体" w:hAnsi="宋体" w:eastAsia="宋体" w:cs="宋体"/>
          <w:b/>
          <w:bCs/>
          <w:sz w:val="32"/>
          <w:szCs w:val="22"/>
          <w:highlight w:val="none"/>
        </w:rPr>
        <w:t xml:space="preserve">采购内容：</w:t>
      </w:r>
      <w:r>
        <w:rPr>
          <w:rFonts w:hint="eastAsia" w:ascii="宋体" w:hAnsi="宋体" w:eastAsia="宋体" w:cs="宋体"/>
          <w:b/>
          <w:bCs/>
          <w:sz w:val="32"/>
          <w:szCs w:val="22"/>
          <w:highlight w:val="none"/>
          <w:lang w:eastAsia="zh-CN"/>
        </w:rPr>
        <w:t xml:space="preserve">光福镇森林消防、综合执法、交管及治安监控补盲项目</w:t>
      </w:r>
      <w:r/>
    </w:p>
    <w:p>
      <w:pPr>
        <w:ind w:firstLine="1285"/>
        <w:spacing w:line="360" w:lineRule="auto"/>
        <w:rPr>
          <w:rFonts w:hint="eastAsia" w:ascii="宋体" w:hAnsi="宋体" w:eastAsia="宋体" w:cs="宋体"/>
          <w:highlight w:val="none"/>
        </w:rPr>
      </w:pPr>
      <w:r>
        <w:rPr>
          <w:rFonts w:hint="eastAsia" w:ascii="宋体" w:hAnsi="宋体" w:eastAsia="宋体" w:cs="宋体"/>
          <w:b/>
          <w:bCs/>
          <w:sz w:val="32"/>
          <w:highlight w:val="none"/>
        </w:rPr>
        <w:t xml:space="preserve">采购类别：货物类</w:t>
      </w:r>
      <w:r/>
    </w:p>
    <w:p>
      <w:pPr>
        <w:pStyle w:val="1126"/>
        <w:jc w:val="center"/>
        <w:rPr>
          <w:rFonts w:hint="eastAsia" w:ascii="宋体" w:hAnsi="宋体" w:cs="宋体"/>
          <w:highlight w:val="none"/>
        </w:rPr>
      </w:pPr>
      <w:r>
        <w:rPr>
          <w:rFonts w:hint="eastAsia" w:ascii="宋体" w:hAnsi="宋体" w:cs="宋体"/>
          <w:highlight w:val="none"/>
        </w:rPr>
      </w:r>
      <w:r/>
    </w:p>
    <w:p>
      <w:pPr>
        <w:pStyle w:val="1126"/>
        <w:jc w:val="center"/>
        <w:rPr>
          <w:rFonts w:hint="eastAsia" w:ascii="宋体" w:hAnsi="宋体" w:cs="宋体"/>
          <w:highlight w:val="none"/>
        </w:rPr>
      </w:pPr>
      <w:r>
        <w:rPr>
          <w:rFonts w:hint="eastAsia" w:ascii="宋体" w:hAnsi="宋体" w:cs="宋体"/>
          <w:highlight w:val="none"/>
        </w:rPr>
      </w:r>
      <w:r/>
    </w:p>
    <w:p>
      <w:pPr>
        <w:pStyle w:val="1126"/>
        <w:jc w:val="center"/>
        <w:rPr>
          <w:rFonts w:hint="eastAsia" w:ascii="宋体" w:hAnsi="宋体" w:cs="宋体"/>
          <w:sz w:val="26"/>
          <w:szCs w:val="26"/>
          <w:highlight w:val="none"/>
        </w:rPr>
      </w:pPr>
      <w:r>
        <w:rPr>
          <w:rFonts w:hint="eastAsia" w:ascii="宋体" w:hAnsi="宋体" w:cs="宋体"/>
          <w:sz w:val="26"/>
          <w:szCs w:val="26"/>
          <w:highlight w:val="none"/>
        </w:rPr>
      </w:r>
      <w:r/>
    </w:p>
    <w:p>
      <w:pPr>
        <w:rPr>
          <w:rFonts w:hint="eastAsia" w:ascii="宋体" w:hAnsi="宋体" w:cs="宋体"/>
          <w:sz w:val="26"/>
          <w:szCs w:val="26"/>
          <w:highlight w:val="none"/>
        </w:rPr>
      </w:pPr>
      <w:r>
        <w:rPr>
          <w:rFonts w:hint="eastAsia" w:ascii="宋体" w:hAnsi="宋体" w:cs="宋体"/>
          <w:sz w:val="26"/>
          <w:szCs w:val="26"/>
          <w:highlight w:val="none"/>
        </w:rPr>
      </w:r>
      <w:r/>
    </w:p>
    <w:p>
      <w:pPr>
        <w:rPr>
          <w:rFonts w:hint="eastAsia" w:ascii="宋体" w:hAnsi="宋体" w:cs="宋体"/>
          <w:sz w:val="26"/>
          <w:szCs w:val="26"/>
          <w:highlight w:val="none"/>
        </w:rPr>
      </w:pPr>
      <w:r>
        <w:rPr>
          <w:rFonts w:hint="eastAsia" w:ascii="宋体" w:hAnsi="宋体" w:cs="宋体"/>
          <w:sz w:val="26"/>
          <w:szCs w:val="26"/>
          <w:highlight w:val="none"/>
        </w:rPr>
      </w:r>
      <w:r/>
    </w:p>
    <w:p>
      <w:pPr>
        <w:rPr>
          <w:rFonts w:hint="eastAsia" w:ascii="宋体" w:hAnsi="宋体" w:cs="宋体"/>
          <w:sz w:val="26"/>
          <w:szCs w:val="26"/>
          <w:highlight w:val="none"/>
        </w:rPr>
      </w:pPr>
      <w:r>
        <w:rPr>
          <w:rFonts w:hint="eastAsia" w:ascii="宋体" w:hAnsi="宋体" w:cs="宋体"/>
          <w:sz w:val="26"/>
          <w:szCs w:val="26"/>
          <w:highlight w:val="none"/>
        </w:rPr>
      </w:r>
      <w:r/>
    </w:p>
    <w:p>
      <w:pPr>
        <w:rPr>
          <w:rFonts w:hint="eastAsia" w:ascii="宋体" w:hAnsi="宋体" w:eastAsia="宋体" w:cs="宋体"/>
          <w:b/>
          <w:szCs w:val="26"/>
          <w:highlight w:val="none"/>
        </w:rPr>
      </w:pPr>
      <w:r>
        <w:rPr>
          <w:rFonts w:hint="eastAsia" w:ascii="宋体" w:hAnsi="宋体" w:eastAsia="宋体" w:cs="宋体"/>
          <w:b/>
          <w:szCs w:val="26"/>
          <w:highlight w:val="none"/>
        </w:rPr>
      </w:r>
      <w:r/>
    </w:p>
    <w:p>
      <w:pPr>
        <w:jc w:val="center"/>
        <w:rPr>
          <w:rFonts w:hint="eastAsia" w:ascii="宋体" w:hAnsi="宋体" w:eastAsia="宋体" w:cs="宋体"/>
          <w:b/>
          <w:szCs w:val="26"/>
          <w:highlight w:val="none"/>
        </w:rPr>
      </w:pPr>
      <w:r>
        <w:rPr>
          <w:rFonts w:hint="eastAsia" w:ascii="宋体" w:hAnsi="宋体" w:eastAsia="宋体" w:cs="宋体"/>
          <w:b/>
          <w:szCs w:val="26"/>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t xml:space="preserve">苏州博思源管理咨询有限公司</w:t>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2025年1</w:t>
      </w:r>
      <w:r>
        <w:rPr>
          <w:rFonts w:hint="eastAsia" w:ascii="宋体" w:hAnsi="宋体" w:eastAsia="宋体" w:cs="宋体"/>
          <w:b/>
          <w:sz w:val="32"/>
          <w:highlight w:val="none"/>
        </w:rPr>
        <w:t xml:space="preserve">2</w:t>
      </w:r>
      <w:r>
        <w:rPr>
          <w:rFonts w:hint="eastAsia" w:ascii="宋体" w:hAnsi="宋体" w:eastAsia="宋体" w:cs="宋体"/>
          <w:b/>
          <w:sz w:val="32"/>
          <w:highlight w:val="none"/>
        </w:rPr>
        <w:t xml:space="preserve">月</w:t>
      </w:r>
      <w:r/>
    </w:p>
    <w:p>
      <w:pPr>
        <w:jc w:val="center"/>
        <w:spacing w:line="360" w:lineRule="auto"/>
        <w:rPr>
          <w:rFonts w:hint="eastAsia" w:ascii="宋体" w:hAnsi="宋体" w:eastAsia="宋体" w:cs="宋体"/>
          <w:b/>
          <w:sz w:val="32"/>
          <w:szCs w:val="32"/>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587" w:bottom="1440" w:left="1587" w:header="851" w:footer="1134" w:gutter="0"/>
          <w:pgNumType w:start="1"/>
          <w:cols w:num="1" w:sep="0" w:space="1701" w:equalWidth="1"/>
          <w:docGrid w:linePitch="360"/>
          <w:titlePg/>
        </w:sect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前附表</w:t>
      </w:r>
      <w:r/>
    </w:p>
    <w:p>
      <w:pPr>
        <w:ind w:firstLine="480"/>
        <w:spacing w:line="360" w:lineRule="auto"/>
        <w:rPr>
          <w:rFonts w:hint="eastAsia" w:ascii="宋体" w:hAnsi="宋体" w:eastAsia="宋体" w:cs="宋体"/>
          <w:sz w:val="24"/>
          <w:szCs w:val="24"/>
          <w:highlight w:val="none"/>
        </w:rPr>
      </w:pPr>
      <w:r>
        <w:rPr>
          <w:rStyle w:val="1160"/>
          <w:rFonts w:hint="eastAsia" w:ascii="宋体" w:hAnsi="宋体" w:cs="宋体"/>
          <w:sz w:val="24"/>
          <w:szCs w:val="24"/>
          <w:highlight w:val="none"/>
        </w:rPr>
        <w:t xml:space="preserve">尊敬的投标单位：请在制作投标文件之前，仔细阅读本招标文件的各项条款，并严格按要求制作和递交投标文件。谢谢合作！</w:t>
      </w:r>
      <w:r/>
    </w:p>
    <w:tbl>
      <w:tblPr>
        <w:tblStyle w:val="918"/>
        <w:tblW w:w="9652"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51"/>
        <w:gridCol w:w="8601"/>
      </w:tblGrid>
      <w:tr>
        <w:trPr>
          <w:trHeight w:val="567"/>
        </w:trPr>
        <w:tc>
          <w:tcPr>
            <w:tcW w:w="10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项号</w:t>
            </w:r>
            <w:r/>
          </w:p>
        </w:tc>
        <w:tc>
          <w:tcPr>
            <w:tcW w:w="860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内容规定</w:t>
            </w:r>
            <w:r/>
          </w:p>
        </w:tc>
      </w:tr>
      <w:tr>
        <w:trPr>
          <w:trHeight w:val="447"/>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601" w:type="dxa"/>
            <w:vAlign w:val="top"/>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采购内容：</w:t>
            </w:r>
            <w:r>
              <w:rPr>
                <w:rFonts w:hint="eastAsia" w:ascii="宋体" w:hAnsi="宋体" w:eastAsia="宋体" w:cs="宋体"/>
                <w:sz w:val="24"/>
                <w:szCs w:val="24"/>
                <w:highlight w:val="none"/>
                <w:lang w:eastAsia="zh-CN"/>
              </w:rPr>
              <w:t xml:space="preserve">光福镇森林消防、综合执法、交管及治安监控补盲项目</w:t>
            </w:r>
            <w:r/>
          </w:p>
        </w:tc>
      </w:tr>
      <w:tr>
        <w:trPr>
          <w:trHeight w:val="432"/>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8601" w:type="dxa"/>
            <w:vAlign w:val="top"/>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采购编号：</w:t>
            </w:r>
            <w:r>
              <w:rPr>
                <w:rFonts w:hint="eastAsia" w:ascii="宋体" w:hAnsi="宋体" w:eastAsia="宋体" w:cs="宋体"/>
                <w:sz w:val="24"/>
                <w:szCs w:val="24"/>
                <w:highlight w:val="none"/>
                <w:lang w:eastAsia="zh-CN"/>
              </w:rPr>
              <w:t xml:space="preserve">JSZC-320506104-BSYY-G2025-000</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lang w:eastAsia="zh-CN"/>
              </w:rPr>
            </w:r>
            <w:r/>
          </w:p>
        </w:tc>
      </w:tr>
      <w:tr>
        <w:trPr>
          <w:trHeight w:val="462"/>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860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投标文件有效期为九十天（日历日）</w:t>
            </w:r>
            <w:r/>
          </w:p>
        </w:tc>
      </w:tr>
      <w:tr>
        <w:trPr>
          <w:trHeight w:val="462"/>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8601" w:type="dxa"/>
            <w:vAlign w:val="top"/>
            <w:textDirection w:val="lrTb"/>
            <w:noWrap w:val="false"/>
          </w:tcPr>
          <w:p>
            <w:pPr>
              <w:pStyle w:val="1119"/>
              <w:spacing w:line="360" w:lineRule="auto"/>
              <w:rPr>
                <w:rFonts w:hint="eastAsia" w:cs="宋体"/>
                <w:szCs w:val="24"/>
                <w:highlight w:val="none"/>
              </w:rPr>
            </w:pPr>
            <w:r>
              <w:rPr>
                <w:rFonts w:hint="eastAsia" w:cs="宋体"/>
                <w:szCs w:val="24"/>
                <w:highlight w:val="none"/>
              </w:rPr>
              <w:t xml:space="preserve">采购预算：人民币</w:t>
            </w:r>
            <w:r>
              <w:rPr>
                <w:rFonts w:hint="eastAsia" w:cs="宋体"/>
                <w:szCs w:val="24"/>
                <w:highlight w:val="none"/>
                <w:lang w:eastAsia="zh-CN"/>
              </w:rPr>
              <w:t xml:space="preserve">壹佰贰拾捌万叁仟贰佰壹拾伍元整</w:t>
            </w:r>
            <w:r>
              <w:rPr>
                <w:rFonts w:hint="eastAsia" w:cs="宋体"/>
                <w:szCs w:val="24"/>
                <w:highlight w:val="none"/>
              </w:rPr>
              <w:t xml:space="preserve">（小写：</w:t>
            </w:r>
            <w:r>
              <w:rPr>
                <w:rFonts w:hint="eastAsia" w:cs="宋体"/>
                <w:szCs w:val="24"/>
                <w:highlight w:val="none"/>
                <w:lang w:eastAsia="zh-CN"/>
              </w:rPr>
              <w:t xml:space="preserve"> 1283215</w:t>
            </w:r>
            <w:r>
              <w:rPr>
                <w:rFonts w:hint="eastAsia" w:cs="宋体"/>
                <w:szCs w:val="24"/>
                <w:highlight w:val="none"/>
              </w:rPr>
              <w:t xml:space="preserve">.00元）</w:t>
            </w:r>
            <w:r/>
          </w:p>
        </w:tc>
      </w:tr>
      <w:tr>
        <w:trPr>
          <w:trHeight w:val="567"/>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8601" w:type="dxa"/>
            <w:vAlign w:val="top"/>
            <w:textDirection w:val="lrTb"/>
            <w:noWrap w:val="false"/>
          </w:tcPr>
          <w:p>
            <w:pPr>
              <w:pStyle w:val="1119"/>
              <w:spacing w:line="360" w:lineRule="auto"/>
              <w:rPr>
                <w:rFonts w:hint="eastAsia" w:cs="宋体"/>
                <w:szCs w:val="24"/>
                <w:highlight w:val="none"/>
              </w:rPr>
            </w:pPr>
            <w:r>
              <w:rPr>
                <w:rFonts w:hint="eastAsia" w:cs="宋体"/>
                <w:szCs w:val="24"/>
                <w:highlight w:val="none"/>
              </w:rPr>
              <w:t xml:space="preserve">投标保证金：本项目不收取投标保证金。</w:t>
            </w:r>
            <w:r/>
          </w:p>
          <w:p>
            <w:pPr>
              <w:pStyle w:val="1119"/>
              <w:spacing w:line="360" w:lineRule="auto"/>
              <w:rPr>
                <w:rFonts w:hint="eastAsia" w:cs="宋体"/>
                <w:szCs w:val="24"/>
                <w:highlight w:val="none"/>
              </w:rPr>
            </w:pPr>
            <w:r>
              <w:rPr>
                <w:rFonts w:hint="eastAsia" w:cs="宋体"/>
                <w:szCs w:val="24"/>
                <w:highlight w:val="none"/>
              </w:rPr>
              <w:t xml:space="preserve">需提供《投标保证承诺书》（具体格式按苏财购告〔2020〕7号文件中的参考格式。</w:t>
            </w:r>
            <w:r/>
          </w:p>
        </w:tc>
      </w:tr>
      <w:tr>
        <w:trPr>
          <w:trHeight w:val="528"/>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8601" w:type="dxa"/>
            <w:vAlign w:val="top"/>
            <w:textDirection w:val="lrTb"/>
            <w:noWrap w:val="false"/>
          </w:tcPr>
          <w:p>
            <w:pPr>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网上报名时间：自采购公告发布之日起至2025年12月</w:t>
            </w: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rPr>
              <w:t xml:space="preserve">日</w:t>
            </w:r>
            <w:r/>
          </w:p>
        </w:tc>
      </w:tr>
      <w:tr>
        <w:trPr>
          <w:trHeight w:val="461"/>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860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投标文件：投标截止时间前</w:t>
            </w:r>
            <w:r>
              <w:rPr>
                <w:rFonts w:hint="eastAsia" w:ascii="宋体" w:hAnsi="宋体" w:eastAsia="宋体" w:cs="宋体"/>
                <w:b/>
                <w:bCs/>
                <w:sz w:val="24"/>
                <w:szCs w:val="24"/>
                <w:highlight w:val="none"/>
              </w:rPr>
              <w:t xml:space="preserve">提交电子投标文件</w:t>
            </w:r>
            <w:r>
              <w:rPr>
                <w:rFonts w:hint="eastAsia" w:ascii="宋体" w:hAnsi="宋体" w:eastAsia="宋体" w:cs="宋体"/>
                <w:sz w:val="24"/>
                <w:szCs w:val="24"/>
                <w:highlight w:val="none"/>
              </w:rPr>
              <w:t xml:space="preserve">。供应商按照采购文件要求制作上传电子响应文件。</w:t>
            </w:r>
            <w:r/>
          </w:p>
          <w:p>
            <w:pPr>
              <w:spacing w:line="360" w:lineRule="auto"/>
              <w:rPr>
                <w:rFonts w:hint="eastAsia"/>
              </w:rPr>
            </w:pPr>
            <w:r>
              <w:rPr>
                <w:rFonts w:hint="eastAsia" w:ascii="宋体" w:hAnsi="宋体" w:eastAsia="宋体" w:cs="宋体"/>
                <w:sz w:val="24"/>
                <w:szCs w:val="24"/>
                <w:highlight w:val="none"/>
              </w:rPr>
              <w:t xml:space="preserve">注：中标单位在中标后需提供四份纸质投标文件（一正三副，须与电子投标文件内容一致），送至招标代理机构。</w:t>
            </w:r>
            <w:r/>
          </w:p>
        </w:tc>
      </w:tr>
      <w:tr>
        <w:trPr>
          <w:trHeight w:val="1165"/>
        </w:trPr>
        <w:tc>
          <w:tcPr>
            <w:tcW w:w="1051"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860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电子投标文件上传递交截止时间：202</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 xml:space="preserve">年1</w:t>
            </w:r>
            <w:r>
              <w:rPr>
                <w:rFonts w:hint="eastAsia" w:ascii="宋体" w:hAnsi="宋体" w:eastAsia="宋体" w:cs="宋体"/>
                <w:sz w:val="24"/>
                <w:szCs w:val="24"/>
                <w:highlight w:val="none"/>
              </w:rPr>
              <w:t xml:space="preserve">月1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日14：30整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 xml:space="preserve">年1</w:t>
            </w:r>
            <w:r>
              <w:rPr>
                <w:rFonts w:hint="eastAsia" w:ascii="宋体" w:hAnsi="宋体" w:eastAsia="宋体" w:cs="宋体"/>
                <w:sz w:val="24"/>
                <w:szCs w:val="24"/>
                <w:highlight w:val="none"/>
              </w:rPr>
              <w:t xml:space="preserve">月1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日14：30整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u w:val="none"/>
              </w:rPr>
              <w:t xml:space="preserve">苏州市高新区邓尉路105号狮山科技馆</w:t>
            </w:r>
            <w:r/>
          </w:p>
        </w:tc>
      </w:tr>
      <w:tr>
        <w:trPr>
          <w:trHeight w:val="1857"/>
        </w:trPr>
        <w:tc>
          <w:tcPr>
            <w:tcW w:w="105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860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代理服务费收费标准：</w:t>
            </w:r>
            <w:r/>
          </w:p>
          <w:p>
            <w:pPr>
              <w:pStyle w:val="1101"/>
              <w:ind w:firstLine="0"/>
              <w:jc w:val="both"/>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 xml:space="preserve">预算金额100万以下费率为预算金额的1.5%；预算金额100万元（含）－500万元部分，费率为该部分预算金额的1.1%。</w:t>
            </w:r>
            <w:r>
              <w:rPr>
                <w:rFonts w:hint="eastAsia" w:ascii="宋体" w:hAnsi="宋体" w:eastAsia="宋体" w:cs="宋体"/>
                <w:szCs w:val="24"/>
                <w:highlight w:val="none"/>
                <w:lang w:val="en-US" w:eastAsia="zh-CN"/>
              </w:rPr>
              <w:t xml:space="preserve">本项目代理费为18115.37元。</w:t>
            </w:r>
            <w:r/>
          </w:p>
          <w:p>
            <w:pPr>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账户名：苏州博思源管理咨询有限公司</w:t>
            </w:r>
            <w:r/>
          </w:p>
          <w:p>
            <w:pPr>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开户行：中国工商银行股份有限公司苏州平江支行</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账号：1102020409200780158</w:t>
            </w:r>
            <w:r/>
          </w:p>
        </w:tc>
      </w:tr>
      <w:tr>
        <w:trPr>
          <w:trHeight w:val="872"/>
        </w:trPr>
        <w:tc>
          <w:tcPr>
            <w:tcW w:w="105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860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质疑按《政府采购质疑和投诉办法》规定，在法定时间内以书面形式向采购代理机构提出，本次采购项目要求供应商应当在法定质疑期内一次性提出针对同一采购程序环节的质疑。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接收质疑函的联系部门、联系电话和通讯地址等见本公告</w:t>
            </w:r>
            <w:r>
              <w:rPr>
                <w:rFonts w:hint="eastAsia" w:ascii="宋体" w:hAnsi="宋体" w:eastAsia="宋体" w:cs="宋体"/>
                <w:bCs/>
                <w:sz w:val="24"/>
                <w:szCs w:val="24"/>
                <w:highlight w:val="none"/>
              </w:rPr>
              <w:t xml:space="preserve">第七项本次招标联系事项</w:t>
            </w:r>
            <w:r>
              <w:rPr>
                <w:rFonts w:hint="eastAsia" w:ascii="宋体" w:hAnsi="宋体" w:eastAsia="宋体" w:cs="宋体"/>
                <w:sz w:val="24"/>
                <w:szCs w:val="24"/>
                <w:highlight w:val="none"/>
              </w:rPr>
              <w:t xml:space="preserve">。</w:t>
            </w:r>
            <w:r/>
          </w:p>
        </w:tc>
      </w:tr>
      <w:tr>
        <w:trPr>
          <w:trHeight w:val="1622"/>
        </w:trPr>
        <w:tc>
          <w:tcPr>
            <w:tcW w:w="105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860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出现下列情形之一的，为废标：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（一）符合专业条件的响应单位或者对招标文件作实质响应的响应单位不足的；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（二）出现影响采购公正的违法、违规行为的；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（三）响应单位的报价均超过了采购预算，采购单位不能支付的；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（四）因重大变故，采购任务取消的。</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center"/>
        <w:spacing w:line="360" w:lineRule="auto"/>
        <w:rPr>
          <w:rFonts w:hint="eastAsia" w:ascii="宋体" w:hAnsi="宋体" w:eastAsia="宋体" w:cs="宋体"/>
          <w:b/>
          <w:sz w:val="44"/>
          <w:szCs w:val="44"/>
          <w:highlight w:val="none"/>
        </w:rPr>
        <w:sectPr>
          <w:footerReference w:type="default" r:id="rId13"/>
          <w:footerReference w:type="first" r:id="rId14"/>
          <w:footnotePr/>
          <w:endnotePr/>
          <w:type w:val="nextPage"/>
          <w:pgSz w:w="11906" w:h="16838" w:orient="portrait"/>
          <w:pgMar w:top="1440" w:right="1587" w:bottom="1440" w:left="1587" w:header="851" w:footer="1134" w:gutter="0"/>
          <w:cols w:num="1" w:sep="0" w:space="1701" w:equalWidth="1"/>
          <w:docGrid w:linePitch="360"/>
          <w:titlePg/>
        </w:sectPr>
      </w:pPr>
      <w:r>
        <w:rPr>
          <w:rFonts w:hint="eastAsia" w:ascii="宋体" w:hAnsi="宋体" w:eastAsia="宋体" w:cs="宋体"/>
          <w:b/>
          <w:sz w:val="44"/>
          <w:szCs w:val="44"/>
          <w:highlight w:val="none"/>
        </w:rPr>
      </w:r>
      <w:r/>
    </w:p>
    <w:p>
      <w:pPr>
        <w:jc w:val="center"/>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总目录</w:t>
      </w:r>
      <w:r/>
    </w:p>
    <w:p>
      <w:pPr>
        <w:jc w:val="center"/>
        <w:rPr>
          <w:rFonts w:hint="eastAsia" w:ascii="宋体" w:hAnsi="宋体" w:eastAsia="宋体" w:cs="宋体"/>
          <w:highlight w:val="none"/>
        </w:rPr>
      </w:pPr>
      <w:r>
        <w:rPr>
          <w:rFonts w:hint="eastAsia" w:ascii="宋体" w:hAnsi="宋体" w:eastAsia="宋体" w:cs="宋体"/>
          <w:highlight w:val="none"/>
        </w:rPr>
      </w:r>
      <w:r/>
    </w:p>
    <w:p>
      <w:pPr>
        <w:pStyle w:val="1126"/>
        <w:spacing w:line="360" w:lineRule="auto"/>
        <w:tabs>
          <w:tab w:val="right" w:pos="8732" w:leader="dot"/>
        </w:tabs>
        <w:rPr>
          <w:sz w:val="28"/>
          <w:szCs w:val="21"/>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TOC \o "1-1" \h \u </w:instrText>
      </w:r>
      <w:r>
        <w:rPr>
          <w:rFonts w:hint="eastAsia" w:ascii="宋体" w:hAnsi="宋体" w:cs="宋体"/>
          <w:bCs/>
          <w:sz w:val="32"/>
          <w:szCs w:val="32"/>
          <w:highlight w:val="none"/>
        </w:rPr>
        <w:fldChar w:fldCharType="separate"/>
      </w:r>
      <w:r>
        <w:rPr>
          <w:rFonts w:hint="eastAsia" w:ascii="宋体" w:hAnsi="宋体" w:cs="宋体"/>
          <w:bCs/>
          <w:sz w:val="28"/>
          <w:szCs w:val="32"/>
          <w:highlight w:val="none"/>
        </w:rPr>
        <w:fldChar w:fldCharType="begin"/>
      </w:r>
      <w:r>
        <w:rPr>
          <w:rFonts w:hint="eastAsia" w:ascii="宋体" w:hAnsi="宋体" w:cs="宋体"/>
          <w:bCs/>
          <w:sz w:val="28"/>
          <w:szCs w:val="32"/>
          <w:highlight w:val="none"/>
        </w:rPr>
        <w:instrText xml:space="preserve"> HYPERLINK \l _Toc4304 </w:instrText>
      </w:r>
      <w:r>
        <w:rPr>
          <w:rFonts w:hint="eastAsia" w:ascii="宋体" w:hAnsi="宋体" w:cs="宋体"/>
          <w:bCs/>
          <w:sz w:val="28"/>
          <w:szCs w:val="32"/>
          <w:highlight w:val="none"/>
        </w:rPr>
        <w:fldChar w:fldCharType="separate"/>
      </w:r>
      <w:r>
        <w:rPr>
          <w:rFonts w:hint="eastAsia" w:ascii="宋体" w:hAnsi="宋体" w:cs="宋体"/>
          <w:bCs/>
          <w:sz w:val="28"/>
          <w:szCs w:val="40"/>
          <w:highlight w:val="none"/>
        </w:rPr>
        <w:t xml:space="preserve">第一章 招标公告</w:t>
      </w:r>
      <w:r>
        <w:rPr>
          <w:sz w:val="28"/>
          <w:szCs w:val="21"/>
          <w:highlight w:val="none"/>
        </w:rPr>
        <w:tab/>
      </w:r>
      <w:r>
        <w:rPr>
          <w:sz w:val="28"/>
          <w:szCs w:val="21"/>
          <w:highlight w:val="none"/>
        </w:rPr>
        <w:fldChar w:fldCharType="begin"/>
      </w:r>
      <w:r>
        <w:rPr>
          <w:sz w:val="28"/>
          <w:szCs w:val="21"/>
          <w:highlight w:val="none"/>
        </w:rPr>
        <w:instrText xml:space="preserve"> PAGEREF _Toc4304 \h </w:instrText>
      </w:r>
      <w:r>
        <w:rPr>
          <w:sz w:val="28"/>
          <w:szCs w:val="21"/>
          <w:highlight w:val="none"/>
        </w:rPr>
        <w:fldChar w:fldCharType="separate"/>
      </w:r>
      <w:r>
        <w:rPr>
          <w:sz w:val="28"/>
          <w:szCs w:val="21"/>
          <w:highlight w:val="none"/>
        </w:rPr>
        <w:t xml:space="preserve">5</w:t>
      </w:r>
      <w:r>
        <w:rPr>
          <w:sz w:val="28"/>
          <w:szCs w:val="21"/>
          <w:highlight w:val="none"/>
        </w:rPr>
        <w:fldChar w:fldCharType="end"/>
      </w:r>
      <w:r>
        <w:rPr>
          <w:rFonts w:hint="eastAsia" w:ascii="宋体" w:hAnsi="宋体" w:cs="宋体"/>
          <w:bCs/>
          <w:sz w:val="28"/>
          <w:szCs w:val="32"/>
          <w:highlight w:val="none"/>
        </w:rPr>
        <w:fldChar w:fldCharType="end"/>
      </w:r>
      <w:r/>
    </w:p>
    <w:p>
      <w:pPr>
        <w:pStyle w:val="1126"/>
        <w:spacing w:line="360" w:lineRule="auto"/>
        <w:tabs>
          <w:tab w:val="right" w:pos="8732" w:leader="dot"/>
        </w:tabs>
        <w:rPr>
          <w:sz w:val="28"/>
          <w:szCs w:val="21"/>
          <w:highlight w:val="none"/>
        </w:rPr>
      </w:pPr>
      <w:r>
        <w:rPr>
          <w:rFonts w:hint="eastAsia" w:ascii="宋体" w:hAnsi="宋体" w:cs="宋体"/>
          <w:bCs/>
          <w:sz w:val="28"/>
          <w:szCs w:val="32"/>
          <w:highlight w:val="none"/>
        </w:rPr>
        <w:fldChar w:fldCharType="begin"/>
      </w:r>
      <w:r>
        <w:rPr>
          <w:rFonts w:hint="eastAsia" w:ascii="宋体" w:hAnsi="宋体" w:cs="宋体"/>
          <w:bCs/>
          <w:sz w:val="28"/>
          <w:szCs w:val="32"/>
          <w:highlight w:val="none"/>
        </w:rPr>
        <w:instrText xml:space="preserve"> HYPERLINK \l _Toc15262 </w:instrText>
      </w:r>
      <w:r>
        <w:rPr>
          <w:rFonts w:hint="eastAsia" w:ascii="宋体" w:hAnsi="宋体" w:cs="宋体"/>
          <w:bCs/>
          <w:sz w:val="28"/>
          <w:szCs w:val="32"/>
          <w:highlight w:val="none"/>
        </w:rPr>
        <w:fldChar w:fldCharType="separate"/>
      </w:r>
      <w:r>
        <w:rPr>
          <w:rFonts w:hint="eastAsia" w:ascii="宋体" w:hAnsi="宋体" w:cs="宋体"/>
          <w:sz w:val="28"/>
          <w:szCs w:val="40"/>
          <w:highlight w:val="none"/>
        </w:rPr>
        <w:t xml:space="preserve">第二章 投标人须知</w:t>
      </w:r>
      <w:r>
        <w:rPr>
          <w:sz w:val="28"/>
          <w:szCs w:val="21"/>
          <w:highlight w:val="none"/>
        </w:rPr>
        <w:tab/>
      </w:r>
      <w:r>
        <w:rPr>
          <w:sz w:val="28"/>
          <w:szCs w:val="21"/>
          <w:highlight w:val="none"/>
        </w:rPr>
        <w:fldChar w:fldCharType="begin"/>
      </w:r>
      <w:r>
        <w:rPr>
          <w:sz w:val="28"/>
          <w:szCs w:val="21"/>
          <w:highlight w:val="none"/>
        </w:rPr>
        <w:instrText xml:space="preserve"> PAGEREF _Toc15262 \h </w:instrText>
      </w:r>
      <w:r>
        <w:rPr>
          <w:sz w:val="28"/>
          <w:szCs w:val="21"/>
          <w:highlight w:val="none"/>
        </w:rPr>
        <w:fldChar w:fldCharType="separate"/>
      </w:r>
      <w:r>
        <w:rPr>
          <w:sz w:val="28"/>
          <w:szCs w:val="21"/>
          <w:highlight w:val="none"/>
        </w:rPr>
        <w:t xml:space="preserve">10</w:t>
      </w:r>
      <w:r>
        <w:rPr>
          <w:sz w:val="28"/>
          <w:szCs w:val="21"/>
          <w:highlight w:val="none"/>
        </w:rPr>
        <w:fldChar w:fldCharType="end"/>
      </w:r>
      <w:r>
        <w:rPr>
          <w:rFonts w:hint="eastAsia" w:ascii="宋体" w:hAnsi="宋体" w:cs="宋体"/>
          <w:bCs/>
          <w:sz w:val="28"/>
          <w:szCs w:val="32"/>
          <w:highlight w:val="none"/>
        </w:rPr>
        <w:fldChar w:fldCharType="end"/>
      </w:r>
      <w:r/>
    </w:p>
    <w:p>
      <w:pPr>
        <w:pStyle w:val="1126"/>
        <w:spacing w:line="360" w:lineRule="auto"/>
        <w:tabs>
          <w:tab w:val="right" w:pos="8732" w:leader="dot"/>
        </w:tabs>
        <w:rPr>
          <w:sz w:val="28"/>
          <w:szCs w:val="21"/>
          <w:highlight w:val="none"/>
        </w:rPr>
      </w:pPr>
      <w:r>
        <w:rPr>
          <w:rFonts w:hint="eastAsia" w:ascii="宋体" w:hAnsi="宋体" w:cs="宋体"/>
          <w:bCs/>
          <w:sz w:val="28"/>
          <w:szCs w:val="32"/>
          <w:highlight w:val="none"/>
        </w:rPr>
        <w:fldChar w:fldCharType="begin"/>
      </w:r>
      <w:r>
        <w:rPr>
          <w:rFonts w:hint="eastAsia" w:ascii="宋体" w:hAnsi="宋体" w:cs="宋体"/>
          <w:bCs/>
          <w:sz w:val="28"/>
          <w:szCs w:val="32"/>
          <w:highlight w:val="none"/>
        </w:rPr>
        <w:instrText xml:space="preserve"> HYPERLINK \l _Toc14285 </w:instrText>
      </w:r>
      <w:r>
        <w:rPr>
          <w:rFonts w:hint="eastAsia" w:ascii="宋体" w:hAnsi="宋体" w:cs="宋体"/>
          <w:bCs/>
          <w:sz w:val="28"/>
          <w:szCs w:val="32"/>
          <w:highlight w:val="none"/>
        </w:rPr>
        <w:fldChar w:fldCharType="separate"/>
      </w:r>
      <w:r>
        <w:rPr>
          <w:rFonts w:hint="eastAsia" w:ascii="宋体" w:hAnsi="宋体" w:cs="宋体"/>
          <w:bCs/>
          <w:sz w:val="28"/>
          <w:szCs w:val="40"/>
          <w:highlight w:val="none"/>
        </w:rPr>
        <w:t xml:space="preserve">第三章 投标文件格式</w:t>
      </w:r>
      <w:r>
        <w:rPr>
          <w:sz w:val="28"/>
          <w:szCs w:val="21"/>
          <w:highlight w:val="none"/>
        </w:rPr>
        <w:tab/>
      </w:r>
      <w:r>
        <w:rPr>
          <w:sz w:val="28"/>
          <w:szCs w:val="21"/>
          <w:highlight w:val="none"/>
        </w:rPr>
        <w:fldChar w:fldCharType="begin"/>
      </w:r>
      <w:r>
        <w:rPr>
          <w:sz w:val="28"/>
          <w:szCs w:val="21"/>
          <w:highlight w:val="none"/>
        </w:rPr>
        <w:instrText xml:space="preserve"> PAGEREF _Toc14285 \h </w:instrText>
      </w:r>
      <w:r>
        <w:rPr>
          <w:sz w:val="28"/>
          <w:szCs w:val="21"/>
          <w:highlight w:val="none"/>
        </w:rPr>
        <w:fldChar w:fldCharType="separate"/>
      </w:r>
      <w:r>
        <w:rPr>
          <w:sz w:val="28"/>
          <w:szCs w:val="21"/>
          <w:highlight w:val="none"/>
        </w:rPr>
        <w:t xml:space="preserve">26</w:t>
      </w:r>
      <w:r>
        <w:rPr>
          <w:sz w:val="28"/>
          <w:szCs w:val="21"/>
          <w:highlight w:val="none"/>
        </w:rPr>
        <w:fldChar w:fldCharType="end"/>
      </w:r>
      <w:r>
        <w:rPr>
          <w:rFonts w:hint="eastAsia" w:ascii="宋体" w:hAnsi="宋体" w:cs="宋体"/>
          <w:bCs/>
          <w:sz w:val="28"/>
          <w:szCs w:val="32"/>
          <w:highlight w:val="none"/>
        </w:rPr>
        <w:fldChar w:fldCharType="end"/>
      </w:r>
      <w:r/>
    </w:p>
    <w:p>
      <w:pPr>
        <w:pStyle w:val="1126"/>
        <w:spacing w:line="360" w:lineRule="auto"/>
        <w:tabs>
          <w:tab w:val="right" w:pos="8732" w:leader="dot"/>
        </w:tabs>
        <w:rPr>
          <w:sz w:val="28"/>
          <w:szCs w:val="21"/>
          <w:highlight w:val="none"/>
        </w:rPr>
      </w:pPr>
      <w:r>
        <w:rPr>
          <w:rFonts w:hint="eastAsia" w:ascii="宋体" w:hAnsi="宋体" w:cs="宋体"/>
          <w:bCs/>
          <w:sz w:val="28"/>
          <w:szCs w:val="32"/>
          <w:highlight w:val="none"/>
        </w:rPr>
        <w:fldChar w:fldCharType="begin"/>
      </w:r>
      <w:r>
        <w:rPr>
          <w:rFonts w:hint="eastAsia" w:ascii="宋体" w:hAnsi="宋体" w:cs="宋体"/>
          <w:bCs/>
          <w:sz w:val="28"/>
          <w:szCs w:val="32"/>
          <w:highlight w:val="none"/>
        </w:rPr>
        <w:instrText xml:space="preserve"> HYPERLINK \l _Toc8298 </w:instrText>
      </w:r>
      <w:r>
        <w:rPr>
          <w:rFonts w:hint="eastAsia" w:ascii="宋体" w:hAnsi="宋体" w:cs="宋体"/>
          <w:bCs/>
          <w:sz w:val="28"/>
          <w:szCs w:val="32"/>
          <w:highlight w:val="none"/>
        </w:rPr>
        <w:fldChar w:fldCharType="separate"/>
      </w:r>
      <w:r>
        <w:rPr>
          <w:rFonts w:hint="eastAsia" w:ascii="宋体" w:hAnsi="宋体" w:cs="宋体"/>
          <w:sz w:val="28"/>
          <w:szCs w:val="40"/>
          <w:highlight w:val="none"/>
        </w:rPr>
        <w:t xml:space="preserve">第四章 招标书</w:t>
      </w:r>
      <w:r>
        <w:rPr>
          <w:sz w:val="28"/>
          <w:szCs w:val="21"/>
          <w:highlight w:val="none"/>
        </w:rPr>
        <w:tab/>
      </w:r>
      <w:r>
        <w:rPr>
          <w:sz w:val="28"/>
          <w:szCs w:val="21"/>
          <w:highlight w:val="none"/>
        </w:rPr>
        <w:fldChar w:fldCharType="begin"/>
      </w:r>
      <w:r>
        <w:rPr>
          <w:sz w:val="28"/>
          <w:szCs w:val="21"/>
          <w:highlight w:val="none"/>
        </w:rPr>
        <w:instrText xml:space="preserve"> PAGEREF _Toc8298 \h </w:instrText>
      </w:r>
      <w:r>
        <w:rPr>
          <w:sz w:val="28"/>
          <w:szCs w:val="21"/>
          <w:highlight w:val="none"/>
        </w:rPr>
        <w:fldChar w:fldCharType="separate"/>
      </w:r>
      <w:r>
        <w:rPr>
          <w:sz w:val="28"/>
          <w:szCs w:val="21"/>
          <w:highlight w:val="none"/>
        </w:rPr>
        <w:t xml:space="preserve">42</w:t>
      </w:r>
      <w:r>
        <w:rPr>
          <w:sz w:val="28"/>
          <w:szCs w:val="21"/>
          <w:highlight w:val="none"/>
        </w:rPr>
        <w:fldChar w:fldCharType="end"/>
      </w:r>
      <w:r>
        <w:rPr>
          <w:rFonts w:hint="eastAsia" w:ascii="宋体" w:hAnsi="宋体" w:cs="宋体"/>
          <w:bCs/>
          <w:sz w:val="28"/>
          <w:szCs w:val="32"/>
          <w:highlight w:val="none"/>
        </w:rPr>
        <w:fldChar w:fldCharType="end"/>
      </w:r>
      <w:r/>
    </w:p>
    <w:p>
      <w:pPr>
        <w:pStyle w:val="1126"/>
        <w:spacing w:line="360" w:lineRule="auto"/>
        <w:tabs>
          <w:tab w:val="right" w:pos="8732" w:leader="dot"/>
        </w:tabs>
        <w:rPr>
          <w:sz w:val="28"/>
          <w:szCs w:val="21"/>
          <w:highlight w:val="none"/>
        </w:rPr>
      </w:pPr>
      <w:r>
        <w:rPr>
          <w:rFonts w:hint="eastAsia" w:ascii="宋体" w:hAnsi="宋体" w:cs="宋体"/>
          <w:bCs/>
          <w:sz w:val="28"/>
          <w:szCs w:val="32"/>
          <w:highlight w:val="none"/>
        </w:rPr>
        <w:fldChar w:fldCharType="begin"/>
      </w:r>
      <w:r>
        <w:rPr>
          <w:rFonts w:hint="eastAsia" w:ascii="宋体" w:hAnsi="宋体" w:cs="宋体"/>
          <w:bCs/>
          <w:sz w:val="28"/>
          <w:szCs w:val="32"/>
          <w:highlight w:val="none"/>
        </w:rPr>
        <w:instrText xml:space="preserve"> HYPERLINK \l _Toc5706 </w:instrText>
      </w:r>
      <w:r>
        <w:rPr>
          <w:rFonts w:hint="eastAsia" w:ascii="宋体" w:hAnsi="宋体" w:cs="宋体"/>
          <w:bCs/>
          <w:sz w:val="28"/>
          <w:szCs w:val="32"/>
          <w:highlight w:val="none"/>
        </w:rPr>
        <w:fldChar w:fldCharType="separate"/>
      </w:r>
      <w:r>
        <w:rPr>
          <w:rFonts w:hint="eastAsia" w:ascii="宋体" w:hAnsi="宋体" w:cs="宋体"/>
          <w:sz w:val="28"/>
          <w:szCs w:val="40"/>
          <w:highlight w:val="none"/>
        </w:rPr>
        <w:t xml:space="preserve">第五章 合同主要条款</w:t>
      </w:r>
      <w:r>
        <w:rPr>
          <w:sz w:val="28"/>
          <w:szCs w:val="21"/>
          <w:highlight w:val="none"/>
        </w:rPr>
        <w:tab/>
      </w:r>
      <w:r>
        <w:rPr>
          <w:sz w:val="28"/>
          <w:szCs w:val="21"/>
          <w:highlight w:val="none"/>
        </w:rPr>
        <w:fldChar w:fldCharType="begin"/>
      </w:r>
      <w:r>
        <w:rPr>
          <w:sz w:val="28"/>
          <w:szCs w:val="21"/>
          <w:highlight w:val="none"/>
        </w:rPr>
        <w:instrText xml:space="preserve"> PAGEREF _Toc5706 \h </w:instrText>
      </w:r>
      <w:r>
        <w:rPr>
          <w:sz w:val="28"/>
          <w:szCs w:val="21"/>
          <w:highlight w:val="none"/>
        </w:rPr>
        <w:fldChar w:fldCharType="separate"/>
      </w:r>
      <w:r>
        <w:rPr>
          <w:sz w:val="28"/>
          <w:szCs w:val="21"/>
          <w:highlight w:val="none"/>
        </w:rPr>
        <w:t xml:space="preserve">60</w:t>
      </w:r>
      <w:r>
        <w:rPr>
          <w:sz w:val="28"/>
          <w:szCs w:val="21"/>
          <w:highlight w:val="none"/>
        </w:rPr>
        <w:fldChar w:fldCharType="end"/>
      </w:r>
      <w:r>
        <w:rPr>
          <w:rFonts w:hint="eastAsia" w:ascii="宋体" w:hAnsi="宋体" w:cs="宋体"/>
          <w:bCs/>
          <w:sz w:val="28"/>
          <w:szCs w:val="32"/>
          <w:highlight w:val="none"/>
        </w:rPr>
        <w:fldChar w:fldCharType="end"/>
      </w:r>
      <w:r/>
    </w:p>
    <w:p>
      <w:pPr>
        <w:pStyle w:val="1126"/>
        <w:spacing w:line="360" w:lineRule="auto"/>
        <w:tabs>
          <w:tab w:val="right" w:pos="8732" w:leader="dot"/>
        </w:tabs>
        <w:rPr>
          <w:sz w:val="28"/>
          <w:szCs w:val="21"/>
          <w:highlight w:val="none"/>
        </w:rPr>
      </w:pPr>
      <w:r>
        <w:rPr>
          <w:rFonts w:hint="eastAsia" w:ascii="宋体" w:hAnsi="宋体" w:cs="宋体"/>
          <w:bCs/>
          <w:sz w:val="28"/>
          <w:szCs w:val="32"/>
          <w:highlight w:val="none"/>
        </w:rPr>
        <w:fldChar w:fldCharType="begin"/>
      </w:r>
      <w:r>
        <w:rPr>
          <w:rFonts w:hint="eastAsia" w:ascii="宋体" w:hAnsi="宋体" w:cs="宋体"/>
          <w:bCs/>
          <w:sz w:val="28"/>
          <w:szCs w:val="32"/>
          <w:highlight w:val="none"/>
        </w:rPr>
        <w:instrText xml:space="preserve"> HYPERLINK \l _Toc4083 </w:instrText>
      </w:r>
      <w:r>
        <w:rPr>
          <w:rFonts w:hint="eastAsia" w:ascii="宋体" w:hAnsi="宋体" w:cs="宋体"/>
          <w:bCs/>
          <w:sz w:val="28"/>
          <w:szCs w:val="32"/>
          <w:highlight w:val="none"/>
        </w:rPr>
        <w:fldChar w:fldCharType="separate"/>
      </w:r>
      <w:r>
        <w:rPr>
          <w:rFonts w:hint="eastAsia" w:ascii="宋体" w:hAnsi="宋体" w:cs="宋体"/>
          <w:sz w:val="28"/>
          <w:szCs w:val="40"/>
          <w:highlight w:val="none"/>
        </w:rPr>
        <w:t xml:space="preserve">第六章 评分标准</w:t>
      </w:r>
      <w:r>
        <w:rPr>
          <w:sz w:val="28"/>
          <w:szCs w:val="21"/>
          <w:highlight w:val="none"/>
        </w:rPr>
        <w:tab/>
      </w:r>
      <w:r>
        <w:rPr>
          <w:sz w:val="28"/>
          <w:szCs w:val="21"/>
          <w:highlight w:val="none"/>
        </w:rPr>
        <w:fldChar w:fldCharType="begin"/>
      </w:r>
      <w:r>
        <w:rPr>
          <w:sz w:val="28"/>
          <w:szCs w:val="21"/>
          <w:highlight w:val="none"/>
        </w:rPr>
        <w:instrText xml:space="preserve"> PAGEREF _Toc4083 \h </w:instrText>
      </w:r>
      <w:r>
        <w:rPr>
          <w:sz w:val="28"/>
          <w:szCs w:val="21"/>
          <w:highlight w:val="none"/>
        </w:rPr>
        <w:fldChar w:fldCharType="separate"/>
      </w:r>
      <w:r>
        <w:rPr>
          <w:sz w:val="28"/>
          <w:szCs w:val="21"/>
          <w:highlight w:val="none"/>
        </w:rPr>
        <w:t xml:space="preserve">67</w:t>
      </w:r>
      <w:r>
        <w:rPr>
          <w:sz w:val="28"/>
          <w:szCs w:val="21"/>
          <w:highlight w:val="none"/>
        </w:rPr>
        <w:fldChar w:fldCharType="end"/>
      </w:r>
      <w:r>
        <w:rPr>
          <w:rFonts w:hint="eastAsia" w:ascii="宋体" w:hAnsi="宋体" w:cs="宋体"/>
          <w:bCs/>
          <w:sz w:val="28"/>
          <w:szCs w:val="32"/>
          <w:highlight w:val="none"/>
        </w:rPr>
        <w:fldChar w:fldCharType="end"/>
      </w:r>
      <w:r/>
    </w:p>
    <w:p>
      <w:pPr>
        <w:pStyle w:val="1101"/>
        <w:ind w:firstLine="0"/>
        <w:jc w:val="both"/>
        <w:spacing w:line="360" w:lineRule="auto"/>
        <w:rPr>
          <w:rFonts w:hint="eastAsia" w:ascii="宋体" w:hAnsi="宋体" w:eastAsia="宋体" w:cs="宋体"/>
          <w:bCs/>
          <w:szCs w:val="28"/>
          <w:highlight w:val="none"/>
        </w:rPr>
      </w:pPr>
      <w:r>
        <w:rPr>
          <w:rFonts w:hint="eastAsia" w:ascii="宋体" w:hAnsi="宋体" w:eastAsia="宋体" w:cs="宋体"/>
          <w:bCs/>
          <w:sz w:val="28"/>
          <w:szCs w:val="32"/>
          <w:highlight w:val="none"/>
        </w:rPr>
        <w:fldChar w:fldCharType="end"/>
      </w:r>
      <w:r/>
    </w:p>
    <w:p>
      <w:pPr>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101"/>
        <w:ind w:firstLine="0"/>
        <w:jc w:val="both"/>
        <w:spacing w:line="48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rPr>
          <w:rFonts w:hint="eastAsia" w:ascii="宋体" w:hAnsi="宋体" w:eastAsia="宋体" w:cs="宋体"/>
          <w:bCs/>
          <w:sz w:val="28"/>
          <w:szCs w:val="28"/>
          <w:highlight w:val="none"/>
        </w:rPr>
        <w:sectPr>
          <w:footerReference w:type="default" r:id="rId15"/>
          <w:footerReference w:type="first" r:id="rId16"/>
          <w:footnotePr/>
          <w:endnotePr/>
          <w:type w:val="nextPage"/>
          <w:pgSz w:w="11906" w:h="16838" w:orient="portrait"/>
          <w:pgMar w:top="1440" w:right="1587" w:bottom="1440" w:left="1587" w:header="851" w:footer="1134" w:gutter="0"/>
          <w:cols w:num="1" w:sep="0" w:space="1701" w:equalWidth="1"/>
          <w:docGrid w:linePitch="360"/>
          <w:titlePg/>
        </w:sectPr>
      </w:pPr>
      <w:r>
        <w:rPr>
          <w:rFonts w:hint="eastAsia" w:ascii="宋体" w:hAnsi="宋体" w:eastAsia="宋体" w:cs="宋体"/>
          <w:bCs/>
          <w:sz w:val="28"/>
          <w:szCs w:val="28"/>
          <w:highlight w:val="none"/>
        </w:rPr>
      </w:r>
      <w:r/>
    </w:p>
    <w:p>
      <w:pPr>
        <w:pStyle w:val="1141"/>
        <w:jc w:val="center"/>
        <w:spacing w:before="75" w:beforeAutospacing="0" w:after="75" w:afterAutospacing="0" w:line="405" w:lineRule="atLeast"/>
        <w:widowControl/>
        <w:rPr>
          <w:rFonts w:hint="eastAsia" w:ascii="宋体" w:hAnsi="宋体" w:cs="宋体"/>
          <w:sz w:val="36"/>
          <w:szCs w:val="36"/>
          <w:highlight w:val="none"/>
        </w:rPr>
        <w:outlineLvl w:val="0"/>
      </w:pPr>
      <w:r/>
      <w:bookmarkStart w:id="0" w:name="_Toc4304"/>
      <w:r/>
      <w:bookmarkStart w:id="1" w:name="_Toc8176"/>
      <w:r/>
      <w:bookmarkStart w:id="2" w:name="_Toc6171"/>
      <w:r/>
      <w:bookmarkStart w:id="3" w:name="_Toc14795"/>
      <w:r>
        <w:rPr>
          <w:rFonts w:hint="eastAsia" w:ascii="宋体" w:hAnsi="宋体" w:cs="宋体"/>
          <w:b/>
          <w:bCs/>
          <w:sz w:val="36"/>
          <w:szCs w:val="36"/>
          <w:highlight w:val="none"/>
        </w:rPr>
        <w:t xml:space="preserve">第一章 招标公告</w:t>
      </w:r>
      <w:bookmarkEnd w:id="0"/>
      <w:r/>
      <w:bookmarkEnd w:id="1"/>
      <w:r/>
      <w:bookmarkEnd w:id="2"/>
      <w:r/>
      <w:r/>
    </w:p>
    <w:p>
      <w:pPr>
        <w:ind w:firstLine="48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光福镇森林消防、综合执法、交管及治安监控补盲项目</w:t>
      </w:r>
      <w:r>
        <w:rPr>
          <w:rFonts w:hint="eastAsia" w:ascii="宋体" w:hAnsi="宋体" w:eastAsia="宋体" w:cs="宋体"/>
          <w:sz w:val="24"/>
          <w:szCs w:val="24"/>
          <w:highlight w:val="none"/>
        </w:rPr>
        <w:t xml:space="preserve">采购的潜在供应商应在“苏采云”政府采购交易系统获取招标文件，并于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rPr>
        <w:t xml:space="preserve">6</w:t>
      </w:r>
      <w:r>
        <w:rPr>
          <w:rFonts w:hint="eastAsia" w:ascii="宋体" w:hAnsi="宋体" w:eastAsia="宋体" w:cs="宋体"/>
          <w:sz w:val="24"/>
          <w:szCs w:val="24"/>
          <w:highlight w:val="none"/>
          <w:u w:val="single"/>
        </w:rPr>
        <w:t xml:space="preserve">年1</w:t>
      </w:r>
      <w:r>
        <w:rPr>
          <w:rFonts w:hint="eastAsia" w:ascii="宋体" w:hAnsi="宋体" w:eastAsia="宋体" w:cs="宋体"/>
          <w:sz w:val="24"/>
          <w:szCs w:val="24"/>
          <w:highlight w:val="none"/>
          <w:u w:val="single"/>
        </w:rPr>
        <w:t xml:space="preserve">月1</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u w:val="single"/>
        </w:rPr>
        <w:t xml:space="preserve">日14：30</w:t>
      </w:r>
      <w:r>
        <w:rPr>
          <w:rFonts w:hint="eastAsia" w:ascii="宋体" w:hAnsi="宋体" w:eastAsia="宋体" w:cs="宋体"/>
          <w:bCs/>
          <w:sz w:val="24"/>
          <w:szCs w:val="24"/>
          <w:highlight w:val="none"/>
        </w:rPr>
        <w:t xml:space="preserve">（北京时间）前提交电子投标文件</w:t>
      </w:r>
      <w:r>
        <w:rPr>
          <w:rFonts w:hint="eastAsia" w:ascii="宋体" w:hAnsi="宋体" w:eastAsia="宋体" w:cs="宋体"/>
          <w:sz w:val="24"/>
          <w:szCs w:val="24"/>
          <w:highlight w:val="none"/>
        </w:rPr>
        <w:t xml:space="preserve">。</w:t>
      </w:r>
      <w:r/>
    </w:p>
    <w:p>
      <w:pPr>
        <w:spacing w:line="460" w:lineRule="exact"/>
        <w:rPr>
          <w:rFonts w:hint="eastAsia" w:ascii="宋体" w:hAnsi="宋体" w:eastAsia="宋体" w:cs="宋体"/>
          <w:b/>
          <w:sz w:val="24"/>
          <w:szCs w:val="24"/>
          <w:highlight w:val="none"/>
        </w:rPr>
      </w:pPr>
      <w:r/>
      <w:bookmarkStart w:id="4" w:name="_Toc28359089"/>
      <w:r/>
      <w:bookmarkStart w:id="5" w:name="_Toc35393629"/>
      <w:r/>
      <w:bookmarkStart w:id="6" w:name="_Toc28359012"/>
      <w:r/>
      <w:bookmarkStart w:id="7" w:name="_Toc35393798"/>
      <w:r>
        <w:rPr>
          <w:rFonts w:hint="eastAsia" w:ascii="宋体" w:hAnsi="宋体" w:eastAsia="宋体" w:cs="宋体"/>
          <w:b/>
          <w:sz w:val="24"/>
          <w:szCs w:val="24"/>
          <w:highlight w:val="none"/>
        </w:rPr>
        <w:t xml:space="preserve">一、项目基本情况</w:t>
      </w:r>
      <w:bookmarkEnd w:id="4"/>
      <w:r/>
      <w:bookmarkEnd w:id="5"/>
      <w:r/>
      <w:bookmarkEnd w:id="6"/>
      <w:r/>
      <w:bookmarkEnd w:id="7"/>
      <w:r/>
      <w:r/>
    </w:p>
    <w:p>
      <w:pPr>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JSZC-320506104-BSYY-G2025-000</w:t>
      </w:r>
      <w:r>
        <w:rPr>
          <w:rFonts w:hint="eastAsia" w:ascii="宋体" w:hAnsi="宋体" w:eastAsia="宋体" w:cs="宋体"/>
          <w:sz w:val="24"/>
          <w:szCs w:val="24"/>
          <w:highlight w:val="none"/>
          <w:lang w:eastAsia="zh-CN"/>
        </w:rPr>
        <w:t xml:space="preserve">7</w:t>
      </w:r>
      <w:r/>
    </w:p>
    <w:p>
      <w:pPr>
        <w:ind w:firstLine="480"/>
        <w:spacing w:line="4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eastAsia="zh-CN"/>
        </w:rPr>
        <w:t xml:space="preserve">光福镇森林消防、综合执法、交管及治安监控补盲项目</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3．采购方式：公开招标</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4．预算金额：人民币</w:t>
      </w:r>
      <w:r>
        <w:rPr>
          <w:rFonts w:hint="eastAsia" w:ascii="宋体" w:hAnsi="宋体" w:eastAsia="宋体" w:cs="宋体"/>
          <w:sz w:val="24"/>
          <w:szCs w:val="24"/>
          <w:highlight w:val="none"/>
          <w:lang w:eastAsia="zh-CN"/>
        </w:rPr>
        <w:t xml:space="preserve">壹佰贰拾捌万叁仟贰佰壹拾伍元整</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lang w:eastAsia="zh-CN"/>
        </w:rPr>
        <w:t xml:space="preserve"> 1283215</w:t>
      </w:r>
      <w:r>
        <w:rPr>
          <w:rFonts w:hint="eastAsia" w:ascii="宋体" w:hAnsi="宋体" w:eastAsia="宋体" w:cs="宋体"/>
          <w:sz w:val="24"/>
          <w:szCs w:val="24"/>
          <w:highlight w:val="none"/>
        </w:rPr>
        <w:t xml:space="preserve">.00元）</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5．采购需求概述：</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光福镇辖区内的山体（如邓尉山、玉屏山等）森林覆盖率高（约65%），植被茂盛，生物多样性丰富，根据吴中区森林防火“十四五”发展规划中要求，在森林资源分布的重点地区、重点部位，加强视频监控系统建设；对不符合要求的视频监控进行换代更新，发挥其在火情自动识别、实时监测中的作用。通过综合监测手段，提升森林火险预警、火情实时监测能力。</w:t>
      </w:r>
      <w:r/>
    </w:p>
    <w:p>
      <w:pPr>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AU"/>
        </w:rPr>
        <w:t xml:space="preserve">6．</w:t>
      </w: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设备交货期为自签订合同之日起60天内安装调试完毕，并投入正常使用。质保期为项目验收合格之日起</w:t>
      </w: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lang w:eastAsia="zh-CN"/>
        </w:rPr>
        <w:t xml:space="preserve">3年。</w:t>
      </w:r>
      <w:r/>
    </w:p>
    <w:p>
      <w:pPr>
        <w:spacing w:line="460" w:lineRule="exact"/>
        <w:rPr>
          <w:rFonts w:hint="eastAsia" w:ascii="宋体" w:hAnsi="宋体" w:eastAsia="宋体" w:cs="宋体"/>
          <w:b/>
          <w:sz w:val="24"/>
          <w:szCs w:val="24"/>
          <w:highlight w:val="none"/>
        </w:rPr>
      </w:pPr>
      <w:r/>
      <w:bookmarkStart w:id="8" w:name="_Toc28359013"/>
      <w:r/>
      <w:bookmarkStart w:id="9" w:name="_Toc35393630"/>
      <w:r/>
      <w:bookmarkStart w:id="10" w:name="_Toc35393799"/>
      <w:r/>
      <w:bookmarkStart w:id="11" w:name="_Toc28359090"/>
      <w:r>
        <w:rPr>
          <w:rFonts w:hint="eastAsia" w:ascii="宋体" w:hAnsi="宋体" w:eastAsia="宋体" w:cs="宋体"/>
          <w:b/>
          <w:sz w:val="24"/>
          <w:szCs w:val="24"/>
          <w:highlight w:val="none"/>
        </w:rPr>
        <w:t xml:space="preserve">二、申请人的资格要求：</w:t>
      </w:r>
      <w:bookmarkEnd w:id="8"/>
      <w:r/>
      <w:bookmarkEnd w:id="9"/>
      <w:r/>
      <w:bookmarkEnd w:id="10"/>
      <w:r/>
      <w:bookmarkEnd w:id="11"/>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满足《中华人民共和国政府采购法》第二十二条规定； 供应商应当具备下列条件：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（3）具有履行合同所必须的设备和专业技术能力；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（二）落实政府采购政策需满足的资格要求：</w:t>
      </w:r>
      <w:r/>
    </w:p>
    <w:p>
      <w:pPr>
        <w:ind w:firstLine="480"/>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1.本项目非专门面向中小微企业采购，所属行业为工业。</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本项目的特定资格要求： </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1.未被“信用中国”网站（www.creditchina.gov.cn）列入失信被执行人、重大税收违法案件当事人名单、政府采购严重失信行为记录名单。</w:t>
      </w:r>
      <w:r/>
    </w:p>
    <w:p>
      <w:pPr>
        <w:ind w:firstLine="480"/>
        <w:spacing w:line="46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不接受</w:t>
      </w:r>
      <w:r>
        <w:rPr>
          <w:rFonts w:hint="eastAsia" w:ascii="宋体" w:hAnsi="宋体" w:eastAsia="宋体" w:cs="宋体"/>
          <w:sz w:val="24"/>
          <w:szCs w:val="24"/>
          <w:highlight w:val="none"/>
        </w:rPr>
        <w:t xml:space="preserve">联合体投标。</w:t>
      </w:r>
      <w:bookmarkStart w:id="12" w:name="_Toc28359001"/>
      <w:r/>
      <w:bookmarkStart w:id="13" w:name="_Toc28359092"/>
      <w:r/>
      <w:bookmarkStart w:id="14" w:name="_Toc35393789"/>
      <w:r/>
      <w:bookmarkStart w:id="15" w:name="_Toc35393632"/>
      <w:r/>
      <w:bookmarkStart w:id="16" w:name="_Toc35393801"/>
      <w:r/>
      <w:bookmarkStart w:id="17" w:name="_Toc28359015"/>
      <w:r/>
      <w:r/>
    </w:p>
    <w:p>
      <w:pP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1．获取时间：</w:t>
      </w:r>
      <w:r>
        <w:rPr>
          <w:rFonts w:hint="eastAsia" w:ascii="宋体" w:hAnsi="宋体" w:eastAsia="宋体" w:cs="宋体"/>
          <w:sz w:val="24"/>
          <w:szCs w:val="24"/>
          <w:highlight w:val="none"/>
          <w:u w:val="single"/>
        </w:rPr>
        <w:t xml:space="preserve">自本公告发布之日起至2025年12月</w:t>
      </w:r>
      <w:r>
        <w:rPr>
          <w:rFonts w:hint="eastAsia" w:ascii="宋体" w:hAnsi="宋体" w:eastAsia="宋体" w:cs="宋体"/>
          <w:sz w:val="24"/>
          <w:szCs w:val="24"/>
          <w:highlight w:val="none"/>
          <w:u w:val="single"/>
        </w:rPr>
        <w:t xml:space="preserve">29</w:t>
      </w:r>
      <w:r>
        <w:rPr>
          <w:rFonts w:hint="eastAsia" w:ascii="宋体" w:hAnsi="宋体" w:eastAsia="宋体" w:cs="宋体"/>
          <w:sz w:val="24"/>
          <w:szCs w:val="24"/>
          <w:highlight w:val="none"/>
          <w:u w:val="single"/>
        </w:rPr>
        <w:t xml:space="preserve">日</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2．获取方式：网上报名</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（1）申领CA证书</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highlight w:val="none"/>
        </w:rPr>
        <w:t xml:space="preserve">：苏州市高新区邓尉路105号狮山科技馆1楼服务大厅</w:t>
      </w:r>
      <w:r>
        <w:rPr>
          <w:rFonts w:hint="eastAsia" w:ascii="宋体" w:hAnsi="宋体" w:eastAsia="宋体" w:cs="宋体"/>
          <w:szCs w:val="24"/>
          <w:highlight w:val="none"/>
        </w:rPr>
        <w:t xml:space="preserve">，咨询电话：0512-69820834。</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（2）依法获取招标文件</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考虑到熟悉“苏采云”系统、办理CA证书都需要一定的时间，请提早准备以免耽误招标采购活动。</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3．售价：免费。</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4．未依照招标公告要求获取招标文件的投标人，视为未参加该项政府采购活动，不具备对该政府采购项目提出质疑的法定权利。</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5．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6．本项目获取招标文件截止日期之后仍可以下载招标文件，但截止日期之后下载的招标文件，视为非有效方式且不作为供应商权益受到损害的证明材料和依据。 </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7．制作电子投</w:t>
      </w:r>
      <w:r>
        <w:rPr>
          <w:rFonts w:hint="eastAsia" w:ascii="宋体" w:hAnsi="宋体" w:eastAsia="宋体" w:cs="宋体"/>
          <w:szCs w:val="24"/>
          <w:highlight w:val="none"/>
        </w:rPr>
        <w:t xml:space="preserve">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8．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9．技术支持</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在系统操作过程中如有疑问，请按以下方式联系：</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注册咨询：18261002950；</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CA技术咨询电话：400-608-6099；</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电子签章技术咨询服务电话：15380932027、15371015030 、13675197356、 13675197221；</w:t>
      </w:r>
      <w:r/>
    </w:p>
    <w:p>
      <w:pPr>
        <w:pStyle w:val="1109"/>
        <w:ind w:left="0" w:firstLine="480"/>
        <w:spacing w:line="460" w:lineRule="exact"/>
        <w:rPr>
          <w:rFonts w:hint="eastAsia" w:ascii="宋体" w:hAnsi="宋体" w:eastAsia="宋体" w:cs="宋体"/>
          <w:szCs w:val="24"/>
          <w:highlight w:val="none"/>
        </w:rPr>
      </w:pPr>
      <w:r>
        <w:rPr>
          <w:rFonts w:hint="eastAsia" w:ascii="宋体" w:hAnsi="宋体" w:eastAsia="宋体" w:cs="宋体"/>
          <w:szCs w:val="24"/>
          <w:highlight w:val="none"/>
        </w:rPr>
        <w:t xml:space="preserve">“苏采云”平台技术咨询电话：0512-69820854、0519-86722802、13914088964、18261002950。QQ：3048755361、1315179389、895706745。</w:t>
      </w:r>
      <w:r/>
    </w:p>
    <w:p>
      <w:pP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四、投标文件提交</w:t>
      </w:r>
      <w:r/>
    </w:p>
    <w:p>
      <w:pPr>
        <w:pStyle w:val="1141"/>
        <w:ind w:firstLine="480"/>
        <w:spacing w:beforeAutospacing="0" w:afterAutospacing="0" w:line="460" w:lineRule="exact"/>
        <w:widowControl/>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1．截止时间：202</w:t>
      </w:r>
      <w:r>
        <w:rPr>
          <w:rFonts w:hint="eastAsia" w:ascii="宋体" w:hAnsi="宋体" w:cs="宋体"/>
          <w:szCs w:val="24"/>
          <w:highlight w:val="none"/>
          <w:shd w:val="clear" w:color="auto" w:fill="ffffff"/>
        </w:rPr>
        <w:t xml:space="preserve">6</w:t>
      </w:r>
      <w:r>
        <w:rPr>
          <w:rFonts w:hint="eastAsia" w:ascii="宋体" w:hAnsi="宋体" w:cs="宋体"/>
          <w:szCs w:val="24"/>
          <w:highlight w:val="none"/>
          <w:shd w:val="clear" w:color="auto" w:fill="ffffff"/>
        </w:rPr>
        <w:t xml:space="preserve">年1</w:t>
      </w:r>
      <w:r>
        <w:rPr>
          <w:rFonts w:hint="eastAsia" w:ascii="宋体" w:hAnsi="宋体" w:cs="宋体"/>
          <w:szCs w:val="24"/>
          <w:highlight w:val="none"/>
          <w:shd w:val="clear" w:color="auto" w:fill="ffffff"/>
        </w:rPr>
        <w:t xml:space="preserve">月</w:t>
      </w:r>
      <w:r>
        <w:rPr>
          <w:rFonts w:hint="eastAsia" w:ascii="宋体" w:hAnsi="宋体" w:cs="宋体"/>
          <w:szCs w:val="24"/>
          <w:highlight w:val="none"/>
          <w:shd w:val="clear" w:color="auto" w:fill="ffffff"/>
        </w:rPr>
        <w:t xml:space="preserve">12</w:t>
      </w:r>
      <w:r>
        <w:rPr>
          <w:rFonts w:hint="eastAsia" w:ascii="宋体" w:hAnsi="宋体" w:cs="宋体"/>
          <w:szCs w:val="24"/>
          <w:highlight w:val="none"/>
          <w:shd w:val="clear" w:color="auto" w:fill="ffffff"/>
        </w:rPr>
        <w:t xml:space="preserve">日14点30分整（北京时间）</w:t>
      </w:r>
      <w:r/>
    </w:p>
    <w:p>
      <w:pPr>
        <w:pStyle w:val="1141"/>
        <w:ind w:firstLine="480"/>
        <w:spacing w:beforeAutospacing="0" w:afterAutospacing="0" w:line="460" w:lineRule="exact"/>
        <w:widowControl/>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2．开标地点：“苏采云”系统（网址：http://jszfcg.jsczt.cn/）“开标大厅”</w:t>
      </w:r>
      <w:r/>
    </w:p>
    <w:p>
      <w:pPr>
        <w:pStyle w:val="1141"/>
        <w:ind w:firstLine="480"/>
        <w:spacing w:beforeAutospacing="0" w:afterAutospacing="0" w:line="460" w:lineRule="exact"/>
        <w:widowControl/>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3．投标方式：投标文件网上递交</w:t>
      </w:r>
      <w:r/>
    </w:p>
    <w:p>
      <w:pPr>
        <w:pStyle w:val="1141"/>
        <w:ind w:firstLine="480"/>
        <w:spacing w:beforeAutospacing="0" w:afterAutospacing="0" w:line="460" w:lineRule="exact"/>
        <w:widowControl/>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4．线上参加开标（开启）会方式：供应商登录“苏采云”系统，点击“开标大厅”，选择对应项目，点击进入不见面开标系统。</w:t>
      </w:r>
      <w:r/>
    </w:p>
    <w:p>
      <w:pPr>
        <w:pStyle w:val="1141"/>
        <w:ind w:firstLine="480"/>
        <w:spacing w:beforeAutospacing="0" w:afterAutospacing="0" w:line="460" w:lineRule="exact"/>
        <w:widowControl/>
        <w:rPr>
          <w:rFonts w:hint="eastAsia" w:ascii="宋体" w:hAnsi="宋体" w:cs="宋体"/>
          <w:b/>
          <w:bCs/>
          <w:szCs w:val="24"/>
          <w:highlight w:val="none"/>
          <w:shd w:val="clear" w:color="auto" w:fill="ffffff"/>
        </w:rPr>
      </w:pPr>
      <w:r>
        <w:rPr>
          <w:rFonts w:hint="eastAsia" w:ascii="宋体" w:hAnsi="宋体" w:cs="宋体"/>
          <w:szCs w:val="24"/>
          <w:highlight w:val="none"/>
          <w:shd w:val="clear" w:color="auto" w:fill="ffffff"/>
        </w:rPr>
        <w:t xml:space="preserve">5．</w:t>
      </w:r>
      <w:r>
        <w:rPr>
          <w:rFonts w:hint="eastAsia" w:ascii="宋体" w:hAnsi="宋体" w:cs="宋体"/>
          <w:b/>
          <w:bCs/>
          <w:szCs w:val="24"/>
          <w:highlight w:val="none"/>
          <w:shd w:val="clear" w:color="auto" w:fill="ffffff"/>
        </w:rPr>
        <w:t xml:space="preserve">各投标单位的不同投标（响应）文件制作机器码一致，将做无效投标情形处理。</w:t>
      </w:r>
      <w:r/>
    </w:p>
    <w:p>
      <w:pPr>
        <w:pStyle w:val="1141"/>
        <w:ind w:firstLine="480"/>
        <w:spacing w:beforeAutospacing="0" w:afterAutospacing="0" w:line="460" w:lineRule="exact"/>
        <w:widowControl/>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6．本项目为不见面开标（开启）项目，开启阶段供应商在【解密环节】必须使用CA证书解密电子投标（响应）文件，如在“苏采云”系统规定的时间内未能成功解密的视为放弃参与本项目，投标无效。</w:t>
      </w:r>
      <w:r/>
    </w:p>
    <w:p>
      <w:pPr>
        <w:pStyle w:val="1141"/>
        <w:ind w:firstLine="480"/>
        <w:spacing w:beforeAutospacing="0" w:afterAutospacing="0" w:line="460" w:lineRule="exact"/>
        <w:widowControl/>
        <w:rPr>
          <w:rFonts w:hint="eastAsia" w:ascii="宋体" w:hAnsi="宋体" w:cs="宋体"/>
          <w:szCs w:val="24"/>
          <w:highlight w:val="none"/>
          <w:shd w:val="clear" w:color="auto" w:fill="ffffff"/>
          <w:lang w:val="zh-CN"/>
        </w:rPr>
      </w:pPr>
      <w:r>
        <w:rPr>
          <w:rFonts w:hint="eastAsia" w:ascii="宋体" w:hAnsi="宋体" w:cs="宋体"/>
          <w:szCs w:val="24"/>
          <w:highlight w:val="none"/>
          <w:shd w:val="clear" w:color="auto" w:fill="ffffff"/>
        </w:rPr>
        <w:t xml:space="preserve">7．请供应商确保电脑、系统及其他设备（视频输入输出设备等）无误，且开启直至项目结束始终保持系统在线状态。</w:t>
      </w:r>
      <w:r/>
    </w:p>
    <w:p>
      <w:pPr>
        <w:pStyle w:val="1141"/>
        <w:ind w:right="-946"/>
        <w:spacing w:beforeAutospacing="0" w:afterAutospacing="0" w:line="360" w:lineRule="auto"/>
        <w:widowControl/>
        <w:rPr>
          <w:rFonts w:hint="eastAsia" w:ascii="宋体" w:hAnsi="宋体" w:cs="宋体"/>
          <w:b/>
          <w:bCs/>
          <w:szCs w:val="24"/>
          <w:highlight w:val="none"/>
        </w:rPr>
      </w:pPr>
      <w:r>
        <w:rPr>
          <w:rFonts w:hint="eastAsia" w:ascii="宋体" w:hAnsi="宋体" w:cs="宋体"/>
          <w:b/>
          <w:bCs/>
          <w:szCs w:val="24"/>
          <w:highlight w:val="none"/>
        </w:rPr>
        <w:t xml:space="preserve">五、公告期限：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shd w:val="clear" w:color="auto" w:fill="ffffff"/>
          <w:lang w:val="zh-CN"/>
        </w:rPr>
        <w:t xml:space="preserve">5个工作日。</w:t>
      </w:r>
      <w:r/>
    </w:p>
    <w:p>
      <w:pPr>
        <w:numPr>
          <w:ilvl w:val="0"/>
          <w:numId w:val="1"/>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其他补充事宜：</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2、针对中小企业需要落实的政府采购政策： </w:t>
      </w:r>
      <w:r/>
    </w:p>
    <w:p>
      <w:pPr>
        <w:ind w:firstLine="482"/>
        <w:jc w:val="left"/>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（1）本项目非整体专门面向中小微企业采购，所属行业为：工业。</w:t>
      </w:r>
      <w:r/>
    </w:p>
    <w:p>
      <w:pPr>
        <w:ind w:firstLine="482"/>
        <w:jc w:val="left"/>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根据《政府采购促进中小企业发展管理办法》的相关规定投标单位必须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3、询问。</w:t>
      </w:r>
      <w:r/>
    </w:p>
    <w:p>
      <w:pPr>
        <w:ind w:firstLine="480"/>
        <w:spacing w:line="360" w:lineRule="auto"/>
        <w:tabs>
          <w:tab w:val="left" w:pos="0" w:leader="none"/>
        </w:tabs>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firstLine="480"/>
        <w:spacing w:line="360" w:lineRule="auto"/>
        <w:tabs>
          <w:tab w:val="left" w:pos="0" w:leader="none"/>
        </w:tabs>
        <w:rPr>
          <w:rFonts w:hint="eastAsia" w:ascii="宋体" w:hAnsi="宋体" w:eastAsia="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shd w:val="clear" w:color="auto" w:fill="ffffff"/>
        </w:rPr>
        <w:t xml:space="preserve">4、苏州市吴中区光福镇财政局监督电话：0512-66231354。</w:t>
      </w:r>
      <w:r/>
    </w:p>
    <w:p>
      <w:pPr>
        <w:ind w:firstLine="480"/>
        <w:spacing w:line="360" w:lineRule="auto"/>
        <w:tabs>
          <w:tab w:val="left" w:pos="0" w:leader="none"/>
        </w:tabs>
        <w:rPr>
          <w:rFonts w:hint="eastAsia" w:ascii="宋体" w:hAnsi="宋体" w:eastAsia="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5、本公告同时在江苏省政府采购网、苏州市政府采购网上发布。</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七、对本次招标提出询问，请按以下方式联系：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val="zh-CN"/>
        </w:rPr>
        <w:t xml:space="preserve">苏州市吴中区光福镇人民政府</w:t>
      </w:r>
      <w:r/>
    </w:p>
    <w:p>
      <w:pPr>
        <w:ind w:firstLine="48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地  址：苏州市吴中区光福镇光福路1号</w:t>
      </w:r>
      <w:r/>
    </w:p>
    <w:p>
      <w:pPr>
        <w:ind w:firstLine="480"/>
        <w:jc w:val="left"/>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联系人：</w:t>
      </w:r>
      <w:r>
        <w:rPr>
          <w:rFonts w:hint="eastAsia" w:ascii="宋体" w:hAnsi="宋体" w:eastAsia="宋体" w:cs="宋体"/>
          <w:sz w:val="24"/>
          <w:szCs w:val="24"/>
          <w:highlight w:val="none"/>
          <w:lang w:val="en-US" w:eastAsia="zh-CN"/>
        </w:rPr>
        <w:t xml:space="preserve">肖佳乐</w:t>
      </w:r>
      <w:r/>
    </w:p>
    <w:p>
      <w:pPr>
        <w:ind w:firstLine="480"/>
        <w:jc w:val="left"/>
        <w:spacing w:line="360" w:lineRule="auto"/>
        <w:widowControl/>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电  话：</w:t>
      </w:r>
      <w:r>
        <w:rPr>
          <w:rFonts w:hint="eastAsia"/>
          <w:highlight w:val="none"/>
        </w:rPr>
        <w:t xml:space="preserve">18106</w:t>
      </w:r>
      <w:r>
        <w:rPr>
          <w:rFonts w:hint="eastAsia"/>
        </w:rPr>
        <w:t xml:space="preserve">256318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ascii="宋体" w:hAnsi="宋体" w:eastAsia="宋体" w:cs="宋体"/>
          <w:sz w:val="24"/>
          <w:szCs w:val="24"/>
          <w:highlight w:val="none"/>
          <w:lang w:eastAsia="zh-CN"/>
        </w:rPr>
        <w:t xml:space="preserve">苏州博思源管理咨询有限公司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址：苏州市吴中区田上江路苏豪文化科技创意园6栋215室</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联系人：刘嘉璐、汪玮一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话：0512-66266215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刘嘉璐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电话：0512-66266215   </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p>
    <w:p>
      <w:pPr>
        <w:ind w:firstLine="4800"/>
        <w:jc w:val="righ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苏州博思源管理咨询有限公司</w:t>
      </w:r>
      <w:r/>
    </w:p>
    <w:p>
      <w:pPr>
        <w:ind w:firstLine="480"/>
        <w:jc w:val="righ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2025年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t xml:space="preserve">日</w:t>
      </w:r>
      <w:bookmarkEnd w:id="3"/>
      <w:r/>
      <w:bookmarkEnd w:id="12"/>
      <w:r/>
      <w:bookmarkEnd w:id="13"/>
      <w:r/>
      <w:bookmarkEnd w:id="14"/>
      <w:r/>
      <w:bookmarkEnd w:id="15"/>
      <w:r/>
      <w:bookmarkEnd w:id="16"/>
      <w:r/>
      <w:bookmarkEnd w:id="17"/>
      <w:r/>
      <w:r/>
    </w:p>
    <w:p>
      <w:pPr>
        <w:ind w:firstLine="482"/>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24"/>
          <w:szCs w:val="24"/>
          <w:highlight w:val="none"/>
        </w:rPr>
        <w:br w:type="page" w:clear="all"/>
      </w:r>
      <w:bookmarkStart w:id="18" w:name="_Toc5720"/>
      <w:r/>
      <w:bookmarkStart w:id="19" w:name="_Toc15262"/>
      <w:r/>
      <w:bookmarkStart w:id="20" w:name="_Toc1099"/>
      <w:r/>
      <w:bookmarkStart w:id="21" w:name="_Toc23695"/>
      <w:r>
        <w:rPr>
          <w:rFonts w:hint="eastAsia" w:ascii="宋体" w:hAnsi="宋体" w:eastAsia="宋体" w:cs="宋体"/>
          <w:b/>
          <w:sz w:val="36"/>
          <w:szCs w:val="36"/>
          <w:highlight w:val="none"/>
        </w:rPr>
        <w:t xml:space="preserve">第二章 投标人须知</w:t>
      </w:r>
      <w:bookmarkEnd w:id="18"/>
      <w:r/>
      <w:bookmarkEnd w:id="19"/>
      <w:r/>
      <w:bookmarkEnd w:id="20"/>
      <w:r/>
      <w:bookmarkEnd w:id="21"/>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1.说明</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1.1本招标文件仅适用于</w:t>
      </w:r>
      <w:r>
        <w:rPr>
          <w:rFonts w:hint="eastAsia" w:ascii="宋体" w:hAnsi="宋体" w:eastAsia="宋体" w:cs="宋体"/>
          <w:szCs w:val="24"/>
          <w:highlight w:val="none"/>
          <w:lang w:eastAsia="zh-CN"/>
        </w:rPr>
        <w:t xml:space="preserve">苏州博思源管理咨询有限公司</w:t>
      </w:r>
      <w:r>
        <w:rPr>
          <w:rFonts w:hint="eastAsia" w:ascii="宋体" w:hAnsi="宋体" w:eastAsia="宋体" w:cs="宋体"/>
          <w:szCs w:val="24"/>
          <w:highlight w:val="none"/>
        </w:rPr>
        <w:t xml:space="preserve">组织的招标活动。</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1.2本次招标活动及因本次招标产生的合同受中国法律制约和保护。</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1.3本招标文件的解释权属于</w:t>
      </w:r>
      <w:r>
        <w:rPr>
          <w:rFonts w:hint="eastAsia" w:ascii="宋体" w:hAnsi="宋体" w:eastAsia="宋体" w:cs="宋体"/>
          <w:szCs w:val="24"/>
          <w:highlight w:val="none"/>
          <w:lang w:eastAsia="zh-CN"/>
        </w:rPr>
        <w:t xml:space="preserve">苏州博思源管理咨询有限公司</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2.词语释义</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2.1采购人：指依法进行政府采购的国家机关、事业单位、团体组织。</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2.2采购代理机构：指依法接受采购人委托，从事货物、工程和服务等政府采购代理业务的社会中介机构。</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2.3投标人：指响应招标、参加投标竞争的法人、其他组织或者自然人。</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2.4响应：投标人根据采购人或采购代理机构发布的招标文件，编制投标文件并按规定投标的行为。</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2.5合同：采供双方根据招标文件和中标的投标文件及中标通知书规定的内容签署的以书面形式所达成的协议，包括所有的附件、附录和构成协议的所有文件。</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2.6甲方（采购人）：合同中明确规定的实际购买货物和服务的法人或其他组织和自然人。</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2.8货物：系指乙方按招标采购文件规定，应向甲方提供的一切设备、备品、备件、工具、手册及其它有关技术资料和材料。</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2.10知识产权：指专利权、商标权、著作权等无形财产专有权的统称。</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2.11天：日历日。</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2.12时间：除特别说明，均指北京时间。</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2.13交货地点：合同中明确约定的乙方提交的货物和服务最终到达地点。</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2.14合同价款：根据合同规定，乙方在正确地履行合同义务后甲方应支付乙方的价款。</w:t>
      </w:r>
      <w:r/>
    </w:p>
    <w:p>
      <w:pPr>
        <w:pStyle w:val="1101"/>
        <w:ind w:firstLine="480"/>
        <w:jc w:val="both"/>
        <w:spacing w:line="360" w:lineRule="auto"/>
        <w:widowControl/>
        <w:rPr>
          <w:rFonts w:hint="eastAsia" w:ascii="宋体" w:hAnsi="宋体" w:eastAsia="宋体" w:cs="宋体"/>
          <w:szCs w:val="24"/>
          <w:highlight w:val="none"/>
        </w:rPr>
      </w:pPr>
      <w:r>
        <w:rPr>
          <w:rFonts w:hint="eastAsia" w:ascii="宋体" w:hAnsi="宋体" w:eastAsia="宋体" w:cs="宋体"/>
          <w:szCs w:val="24"/>
          <w:highlight w:val="none"/>
        </w:rPr>
        <w:t xml:space="preserve">2.15产地：货物开采、生长、生产、最终制造、加工或提供服务的来源地。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2.16不可抗力：不能预见、不能避免并且不能克服的客观情况。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2.18进口产品：通过中国海关报关验放进入中国境内且产自关境外的产品。</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2.19书面形式：指书面文字、合同书、信件和传真等可以有形地表现所载内容的形式。</w:t>
      </w:r>
      <w:r/>
    </w:p>
    <w:p>
      <w:pPr>
        <w:ind w:firstLine="480"/>
        <w:rPr>
          <w:rFonts w:hint="eastAsia" w:ascii="宋体" w:hAnsi="宋体" w:eastAsia="宋体" w:cs="宋体"/>
          <w:szCs w:val="24"/>
          <w:highlight w:val="none"/>
        </w:rPr>
      </w:pPr>
      <w:r>
        <w:rPr>
          <w:rFonts w:hint="eastAsia" w:ascii="宋体" w:hAnsi="宋体" w:eastAsia="宋体" w:cs="宋体"/>
          <w:sz w:val="24"/>
          <w:szCs w:val="24"/>
          <w:highlight w:val="none"/>
        </w:rPr>
        <w:t xml:space="preserve">2.20核心产品：根据本项目技术构成、产品价格比重等合理确定的产品。</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二、投标人</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3.合格投标人的一般条件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3.1具有独立承担民事责任的能力；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3.2具有良好的商业信誉和健全的财务会计制度；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3.3具有履行合同所必须的设备和专业技术能力；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3.4有依法缴纳税收和社会保障资金的良好记录；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3.6法律、行政法规规定的其他条件。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4.合格投标人的特殊条件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5.投标人代表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6.投标费用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6.1无论投标过程中的做法和结果如何，投标人自行承担所有与参加投标有关的全部费用。</w:t>
      </w:r>
      <w:r/>
    </w:p>
    <w:p>
      <w:pPr>
        <w:pStyle w:val="1109"/>
        <w:ind w:left="0"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6.2本次招标活动采购人和采购代理机构不收取标书工本费。</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7.联合投标及转包、分包</w:t>
      </w:r>
      <w:r/>
    </w:p>
    <w:p>
      <w:pPr>
        <w:pStyle w:val="1233"/>
        <w:ind w:firstLine="480"/>
        <w:spacing w:line="360" w:lineRule="auto"/>
        <w:rPr>
          <w:rFonts w:hint="eastAsia" w:ascii="宋体" w:hAnsi="宋体" w:eastAsia="宋体" w:cs="宋体"/>
          <w:b/>
          <w:bCs/>
          <w:szCs w:val="24"/>
          <w:highlight w:val="none"/>
        </w:rPr>
      </w:pPr>
      <w:r>
        <w:rPr>
          <w:rFonts w:hint="eastAsia" w:ascii="宋体" w:hAnsi="宋体" w:eastAsia="宋体" w:cs="宋体"/>
          <w:szCs w:val="24"/>
          <w:highlight w:val="none"/>
        </w:rPr>
        <w:t xml:space="preserve">7.1</w:t>
      </w:r>
      <w:r>
        <w:rPr>
          <w:rFonts w:hint="eastAsia" w:ascii="宋体" w:hAnsi="宋体" w:eastAsia="宋体" w:cs="宋体"/>
          <w:b/>
          <w:bCs/>
          <w:szCs w:val="24"/>
          <w:highlight w:val="none"/>
        </w:rPr>
        <w:t xml:space="preserve">本项目</w:t>
      </w:r>
      <w:r>
        <w:rPr>
          <w:rFonts w:hint="eastAsia" w:ascii="宋体" w:hAnsi="宋体" w:eastAsia="宋体" w:cs="宋体"/>
          <w:b/>
          <w:bCs/>
          <w:szCs w:val="24"/>
          <w:highlight w:val="none"/>
          <w:u w:val="single"/>
        </w:rPr>
        <w:t xml:space="preserve">不接受</w:t>
      </w:r>
      <w:r>
        <w:rPr>
          <w:rFonts w:hint="eastAsia" w:ascii="宋体" w:hAnsi="宋体" w:eastAsia="宋体" w:cs="宋体"/>
          <w:b/>
          <w:bCs/>
          <w:szCs w:val="24"/>
          <w:highlight w:val="none"/>
        </w:rPr>
        <w:t xml:space="preserve">联合体投标</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7.2本项目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b/>
          <w:bCs/>
          <w:sz w:val="24"/>
          <w:szCs w:val="24"/>
          <w:highlight w:val="none"/>
        </w:rPr>
        <w:t xml:space="preserve">转包</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三、招标文件的说明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招标文件由招标文件总目录所列内容组成，投标人在获取招标文件后，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101"/>
        <w:ind w:firstLine="480"/>
        <w:spacing w:line="360" w:lineRule="auto"/>
        <w:rPr>
          <w:rFonts w:hint="eastAsia" w:ascii="宋体" w:hAnsi="宋体" w:eastAsia="宋体" w:cs="宋体"/>
          <w:highlight w:val="none"/>
        </w:rPr>
      </w:pPr>
      <w:r>
        <w:rPr>
          <w:rFonts w:hint="eastAsia" w:ascii="宋体" w:hAnsi="宋体" w:eastAsia="宋体" w:cs="宋体"/>
          <w:szCs w:val="24"/>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9.招标文件的澄清和修改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9.3对于补充通知（包括更正公告），投标人通过“苏州市政府采购网”的“采购公告”自行查看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9.4招标文件的澄清、修改、补充等内容均以苏州市政府采购网上发布的内容为准。</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10.勘察现场（不涉及此条忽略）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11.投标质疑</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11.2本次招标文件要求供应商在法定质疑期内一次性提出针对同一采购程序环节的质疑，否则不予受理。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11.3供应商提出质疑应当提交质疑函和必要的证明材料，质疑函应当包括下列内容：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（1）供应商的姓名或者名称（以提供的营业执照副本复印件为准）、地址、邮编、联系人及联系电话；</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（2）质疑项目的名称、编号；</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（4）事实依据；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（5）必要的法律依据；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（6）提出质疑的日期。</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highlight w:val="none"/>
        </w:rPr>
        <w:t xml:space="preserve">授权委托书</w:t>
      </w:r>
      <w:r>
        <w:rPr>
          <w:rFonts w:hint="eastAsia" w:ascii="宋体" w:hAnsi="宋体" w:eastAsia="宋体" w:cs="宋体"/>
          <w:bCs/>
          <w:sz w:val="24"/>
          <w:szCs w:val="24"/>
          <w:highlight w:val="none"/>
        </w:rPr>
        <w:t xml:space="preserve">上应当载明代理人的姓名或者名称、代理事项、具体权限、期限和相关事项。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供应商提交的质疑函必须按照《政府采购供应商质疑函范本》要求的格式和内容进行填写。</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highlight w:val="none"/>
        </w:rPr>
        <w:t xml:space="preserve">《投标供应商确认函》</w:t>
      </w:r>
      <w:r>
        <w:rPr>
          <w:rFonts w:hint="eastAsia" w:ascii="宋体" w:hAnsi="宋体" w:eastAsia="宋体" w:cs="宋体"/>
          <w:bCs/>
          <w:sz w:val="24"/>
          <w:szCs w:val="24"/>
          <w:highlight w:val="none"/>
        </w:rPr>
        <w:t xml:space="preserve">）与质疑函一起递交，否则不予受理。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11.5接收质疑函的方式：书面形式（当场送达或邮寄方式）。</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质疑联系人：</w:t>
      </w:r>
      <w:r>
        <w:rPr>
          <w:rFonts w:hint="eastAsia" w:ascii="宋体" w:hAnsi="宋体" w:eastAsia="宋体" w:cs="宋体"/>
          <w:bCs/>
          <w:sz w:val="24"/>
          <w:szCs w:val="24"/>
          <w:highlight w:val="none"/>
          <w:lang w:val="en-US" w:eastAsia="zh-CN"/>
        </w:rPr>
        <w:t xml:space="preserve">刘嘉璐</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联系电话：0512-66266215</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现场递交或邮寄地址:苏州市吴中区田上江路苏豪文化科技创意园6栋215室</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12.提示与要求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12.1投标人应仔细阅读招标文件的所有内容，按招标文件的要求编制投标文件，并保证所提供的全部资料的真实性，以使其投标对招标文件作出实质性响应，否则，其投标可能被拒绝。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12.2无论是否递交投标文件，投标人都应将招标文件及以后的所有通知、文件等视为保密文件。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13.投标文件计量单位和使用文字</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13.2投标文件应使用中文编制，投标文件中必须使用其他文字的，必须附有中文译本。对于未附有中文译本和中文译本不准确的投标文件可能引起的对投标人不利的后果，采购人或采购代理机构概不负责。</w:t>
      </w:r>
      <w:r/>
    </w:p>
    <w:p>
      <w:pPr>
        <w:pStyle w:val="1109"/>
        <w:ind w:left="0" w:firstLine="482"/>
        <w:rPr>
          <w:rFonts w:hint="eastAsia" w:ascii="宋体" w:hAnsi="宋体" w:eastAsia="宋体" w:cs="宋体"/>
          <w:b/>
          <w:szCs w:val="24"/>
          <w:highlight w:val="none"/>
        </w:rPr>
      </w:pPr>
      <w:r>
        <w:rPr>
          <w:rFonts w:hint="eastAsia" w:ascii="宋体" w:hAnsi="宋体" w:eastAsia="宋体" w:cs="宋体"/>
          <w:b/>
          <w:szCs w:val="24"/>
          <w:highlight w:val="none"/>
        </w:rPr>
        <w:t xml:space="preserve">14. 知识产权</w:t>
      </w:r>
      <w:r/>
    </w:p>
    <w:p>
      <w:pPr>
        <w:pStyle w:val="1109"/>
        <w:ind w:left="0" w:firstLine="480"/>
        <w:rPr>
          <w:rFonts w:hint="eastAsia" w:ascii="宋体" w:hAnsi="宋体" w:eastAsia="宋体" w:cs="宋体"/>
          <w:szCs w:val="24"/>
          <w:highlight w:val="none"/>
        </w:rPr>
      </w:pPr>
      <w:r>
        <w:rPr>
          <w:rFonts w:hint="eastAsia" w:ascii="宋体" w:hAnsi="宋体" w:eastAsia="宋体" w:cs="宋体"/>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15.投标文件的组成</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15.1投标书一（报价部分）(格式见第三章)：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15.1.1投标函；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15.1.2投标人《营业执照》副本复印件；</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15.1.3授权委托书（如有授权）；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15.1.4投标人法定代表人身份证复印件；投标人授权代理人身份证复印件（如有授权）；</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15.1.5开标一览表（统一格式，用于唱标）；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15.1.6投标分项报价表（格式见第三章）。</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15.2投标书二（资格及技术部分）：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15.2.1关于资格文件的声明函（格式见第三章）；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15.2.2投标人情况表（格式见第三章）；</w:t>
      </w:r>
      <w:r/>
    </w:p>
    <w:p>
      <w:pPr>
        <w:pStyle w:val="1101"/>
        <w:ind w:firstLine="480"/>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15.2.3投标单位满足条件的资格证明文件；</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15.2.3.1</w:t>
      </w:r>
      <w:r>
        <w:rPr>
          <w:rFonts w:hint="eastAsia" w:ascii="宋体" w:hAnsi="宋体" w:eastAsia="宋体" w:cs="宋体"/>
          <w:sz w:val="24"/>
          <w:szCs w:val="24"/>
          <w:highlight w:val="none"/>
          <w:lang w:val="zh-CN"/>
        </w:rPr>
        <w:t xml:space="preserve">良好的商业信誉和健全的财务会计制度证明。提供最近一期</w:t>
      </w:r>
      <w:r>
        <w:rPr>
          <w:rFonts w:hint="eastAsia" w:ascii="宋体" w:hAnsi="宋体" w:eastAsia="宋体" w:cs="宋体"/>
          <w:b/>
          <w:bCs/>
          <w:sz w:val="24"/>
          <w:szCs w:val="24"/>
          <w:highlight w:val="none"/>
          <w:lang w:val="zh-CN"/>
        </w:rPr>
        <w:t xml:space="preserve">经审计</w:t>
      </w:r>
      <w:r>
        <w:rPr>
          <w:rFonts w:hint="eastAsia" w:ascii="宋体" w:hAnsi="宋体" w:eastAsia="宋体" w:cs="宋体"/>
          <w:sz w:val="24"/>
          <w:szCs w:val="24"/>
          <w:highlight w:val="none"/>
          <w:lang w:val="zh-CN"/>
        </w:rPr>
        <w:t xml:space="preserve">的财务报告，其他组织、自然人及成立未满一年的法人应提供银行出具的资信证明；</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15.2.3.2</w:t>
      </w:r>
      <w:r>
        <w:rPr>
          <w:rFonts w:hint="eastAsia" w:ascii="宋体" w:hAnsi="宋体" w:eastAsia="宋体" w:cs="宋体"/>
          <w:sz w:val="24"/>
          <w:szCs w:val="24"/>
          <w:highlight w:val="none"/>
          <w:lang w:val="zh-CN"/>
        </w:rPr>
        <w:t xml:space="preserve">具备履行合同所必备的设备和专业技术能力的证明材料。（企业法人性质的政府采购供应商应在经工商管理部门核准登记注册的经营范围内参与经营活动。如供应商为生产厂商、服务供应商，应提供满足采购需求必备的相关设备的购置合同或发票，相关技术人员的职称证书和用工合同等证明材料）；</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15.2.3.3</w:t>
      </w:r>
      <w:r>
        <w:rPr>
          <w:rFonts w:hint="eastAsia" w:ascii="宋体" w:hAnsi="宋体" w:eastAsia="宋体" w:cs="宋体"/>
          <w:sz w:val="24"/>
          <w:szCs w:val="24"/>
          <w:highlight w:val="none"/>
          <w:lang w:val="zh-CN"/>
        </w:rPr>
        <w:t xml:space="preserve">依法缴纳税收和社会保障资金的良好记录：提供</w:t>
      </w:r>
      <w:r>
        <w:rPr>
          <w:rFonts w:hint="eastAsia" w:ascii="宋体" w:hAnsi="宋体" w:eastAsia="宋体" w:cs="宋体"/>
          <w:sz w:val="24"/>
          <w:szCs w:val="24"/>
          <w:highlight w:val="none"/>
        </w:rPr>
        <w:t xml:space="preserve">最近一期的缴纳税收的凭据，最近一期的社会保险缴纳的凭据</w:t>
      </w:r>
      <w:r>
        <w:rPr>
          <w:rFonts w:hint="eastAsia" w:ascii="宋体" w:hAnsi="宋体" w:eastAsia="宋体" w:cs="宋体"/>
          <w:sz w:val="24"/>
          <w:szCs w:val="24"/>
          <w:highlight w:val="none"/>
          <w:lang w:val="zh-CN"/>
        </w:rPr>
        <w:t xml:space="preserve">（专用收据或社会保险缴纳清单）；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15.2.3.4</w:t>
      </w:r>
      <w:r>
        <w:rPr>
          <w:rFonts w:hint="eastAsia" w:ascii="宋体" w:hAnsi="宋体" w:eastAsia="宋体" w:cs="宋体"/>
          <w:sz w:val="24"/>
          <w:szCs w:val="24"/>
          <w:highlight w:val="none"/>
          <w:lang w:val="zh-CN"/>
        </w:rPr>
        <w:t xml:space="preserve">参加政府采购活动前三年内在经营活动中没有重大违法记录的书面声明函（格式自拟）；</w:t>
      </w:r>
      <w:r/>
    </w:p>
    <w:p>
      <w:pPr>
        <w:pStyle w:val="1101"/>
        <w:ind w:firstLine="480"/>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15.2.4</w:t>
      </w:r>
      <w:r>
        <w:rPr>
          <w:rFonts w:hint="eastAsia" w:ascii="宋体" w:hAnsi="宋体" w:eastAsia="宋体" w:cs="宋体"/>
          <w:b/>
          <w:bCs/>
          <w:szCs w:val="24"/>
          <w:highlight w:val="none"/>
        </w:rPr>
        <w:t xml:space="preserve">《中小企业声明函》</w:t>
      </w:r>
      <w:r>
        <w:rPr>
          <w:rFonts w:hint="eastAsia" w:ascii="宋体" w:hAnsi="宋体" w:eastAsia="宋体" w:cs="宋体"/>
          <w:szCs w:val="24"/>
          <w:highlight w:val="none"/>
        </w:rPr>
        <w:t xml:space="preserve">或</w:t>
      </w:r>
      <w:r>
        <w:rPr>
          <w:rFonts w:hint="eastAsia" w:ascii="宋体" w:hAnsi="宋体" w:eastAsia="宋体" w:cs="宋体"/>
          <w:b/>
          <w:bCs/>
          <w:szCs w:val="24"/>
          <w:highlight w:val="none"/>
        </w:rPr>
        <w:t xml:space="preserve">《残疾人福利</w:t>
      </w:r>
      <w:r>
        <w:rPr>
          <w:rFonts w:hint="eastAsia" w:ascii="宋体" w:hAnsi="宋体" w:eastAsia="宋体" w:cs="宋体"/>
          <w:b/>
          <w:bCs/>
          <w:szCs w:val="28"/>
          <w:highlight w:val="none"/>
        </w:rPr>
        <w:t xml:space="preserve">性单位声明函》</w:t>
      </w:r>
      <w:r>
        <w:rPr>
          <w:rFonts w:hint="eastAsia" w:ascii="宋体" w:hAnsi="宋体" w:eastAsia="宋体" w:cs="宋体"/>
          <w:szCs w:val="24"/>
          <w:highlight w:val="none"/>
        </w:rPr>
        <w:t xml:space="preserve">或</w:t>
      </w:r>
      <w:r>
        <w:rPr>
          <w:rFonts w:hint="eastAsia" w:ascii="宋体" w:hAnsi="宋体" w:eastAsia="宋体" w:cs="宋体"/>
          <w:b/>
          <w:bCs/>
          <w:szCs w:val="28"/>
          <w:highlight w:val="none"/>
        </w:rPr>
        <w:t xml:space="preserve">《监狱企业声明函》</w:t>
      </w:r>
      <w:r>
        <w:rPr>
          <w:rFonts w:hint="eastAsia" w:ascii="宋体" w:hAnsi="宋体" w:eastAsia="宋体" w:cs="宋体"/>
          <w:szCs w:val="28"/>
          <w:highlight w:val="none"/>
        </w:rPr>
        <w:t xml:space="preserve">（如属，格式见第三章）及相关证明文件</w:t>
      </w:r>
      <w:r>
        <w:rPr>
          <w:rFonts w:hint="eastAsia" w:ascii="宋体" w:hAnsi="宋体" w:eastAsia="宋体" w:cs="宋体"/>
          <w:szCs w:val="24"/>
          <w:highlight w:val="none"/>
        </w:rPr>
        <w:t xml:space="preserve">；</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投标产品清单表；</w:t>
      </w:r>
      <w:r/>
    </w:p>
    <w:p>
      <w:pPr>
        <w:pStyle w:val="1101"/>
        <w:ind w:firstLine="480"/>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15.2.6投标产品技术对照表；</w:t>
      </w:r>
      <w:r/>
    </w:p>
    <w:p>
      <w:pPr>
        <w:pStyle w:val="1101"/>
        <w:ind w:firstLine="480"/>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15.2.7产品质量承诺；</w:t>
      </w:r>
      <w:r/>
    </w:p>
    <w:p>
      <w:pPr>
        <w:pStyle w:val="1101"/>
        <w:ind w:firstLine="480"/>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15.2.8产品生产厂家印制的产品样本或说明书；（投标技术参数如与样本或说明书有矛盾之处，以样本或说明书为准）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售后服务承诺书（见附件见格式）</w:t>
      </w:r>
      <w:r>
        <w:rPr>
          <w:rFonts w:hint="eastAsia" w:ascii="宋体" w:hAnsi="宋体" w:eastAsia="宋体" w:cs="宋体"/>
          <w:szCs w:val="24"/>
          <w:highlight w:val="none"/>
        </w:rPr>
        <w:t xml:space="preserve">；</w:t>
      </w:r>
      <w:r/>
    </w:p>
    <w:p>
      <w:pPr>
        <w:pStyle w:val="1101"/>
        <w:ind w:firstLine="502"/>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15.2.1</w:t>
      </w:r>
      <w:r>
        <w:rPr>
          <w:rFonts w:hint="eastAsia" w:ascii="宋体" w:hAnsi="宋体" w:eastAsia="宋体" w:cs="宋体"/>
          <w:szCs w:val="24"/>
          <w:highlight w:val="none"/>
          <w:lang w:val="en-US" w:eastAsia="zh-CN"/>
        </w:rPr>
        <w:t xml:space="preserve">0</w:t>
      </w:r>
      <w:r>
        <w:rPr>
          <w:rFonts w:hint="eastAsia" w:ascii="宋体" w:hAnsi="宋体" w:eastAsia="宋体" w:cs="宋体"/>
          <w:szCs w:val="24"/>
          <w:highlight w:val="none"/>
        </w:rPr>
        <w:t xml:space="preserve">商务条款偏离表（见附件见格式）</w:t>
      </w:r>
      <w:r/>
    </w:p>
    <w:p>
      <w:pPr>
        <w:pStyle w:val="1101"/>
        <w:ind w:firstLine="502"/>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15.2.1</w:t>
      </w:r>
      <w:r>
        <w:rPr>
          <w:rFonts w:hint="eastAsia" w:ascii="宋体" w:hAnsi="宋体" w:eastAsia="宋体" w:cs="宋体"/>
          <w:szCs w:val="24"/>
          <w:highlight w:val="none"/>
          <w:lang w:val="en-US" w:eastAsia="zh-CN"/>
        </w:rPr>
        <w:t xml:space="preserve">11</w:t>
      </w:r>
      <w:r>
        <w:rPr>
          <w:rFonts w:hint="eastAsia" w:ascii="宋体" w:hAnsi="宋体" w:eastAsia="宋体" w:cs="宋体"/>
          <w:szCs w:val="24"/>
          <w:highlight w:val="none"/>
        </w:rPr>
        <w:t xml:space="preserve">类似业绩一览表（见附件格式）；</w:t>
      </w:r>
      <w:r/>
    </w:p>
    <w:p>
      <w:pPr>
        <w:pStyle w:val="1101"/>
        <w:ind w:firstLine="502"/>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15.2.1</w:t>
      </w: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rPr>
        <w:t xml:space="preserve">投标保证承诺书（见附件格式）；</w:t>
      </w:r>
      <w:r/>
    </w:p>
    <w:p>
      <w:pPr>
        <w:pStyle w:val="1101"/>
        <w:ind w:firstLine="502"/>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15.2.1</w:t>
      </w: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rPr>
        <w:t xml:space="preserve">供应商认为需要的其他技术文件或说明；</w:t>
      </w:r>
      <w:r/>
    </w:p>
    <w:p>
      <w:pPr>
        <w:pStyle w:val="1101"/>
        <w:ind w:firstLine="482"/>
        <w:jc w:val="both"/>
        <w:spacing w:line="360" w:lineRule="auto"/>
        <w:tabs>
          <w:tab w:val="left" w:pos="0" w:leader="none"/>
        </w:tabs>
        <w:rPr>
          <w:rFonts w:hint="eastAsia" w:ascii="宋体" w:hAnsi="宋体" w:eastAsia="宋体" w:cs="宋体"/>
          <w:b/>
          <w:bCs/>
          <w:szCs w:val="24"/>
          <w:highlight w:val="none"/>
        </w:rPr>
      </w:pPr>
      <w:r>
        <w:rPr>
          <w:rFonts w:hint="eastAsia" w:ascii="宋体" w:hAnsi="宋体" w:eastAsia="宋体" w:cs="宋体"/>
          <w:b/>
          <w:bCs/>
          <w:szCs w:val="24"/>
          <w:highlight w:val="none"/>
        </w:rPr>
        <w:t xml:space="preserve">注1：投标人必须提交上述15.1.1—15.2.4款规定的资料，是作为对供应商资格审查、质疑身份认定的依据，投标人必须提供并加盖电子公章。否则，投标文件将被认定为不符合资格审查要求。</w:t>
      </w:r>
      <w:r/>
    </w:p>
    <w:p>
      <w:pPr>
        <w:pStyle w:val="1101"/>
        <w:ind w:firstLine="482"/>
        <w:jc w:val="both"/>
        <w:spacing w:line="360" w:lineRule="auto"/>
        <w:tabs>
          <w:tab w:val="left" w:pos="0" w:leader="none"/>
        </w:tabs>
        <w:rPr>
          <w:rFonts w:hint="eastAsia" w:ascii="宋体" w:hAnsi="宋体" w:eastAsia="宋体" w:cs="宋体"/>
          <w:b/>
          <w:bCs/>
          <w:szCs w:val="24"/>
          <w:highlight w:val="none"/>
        </w:rPr>
      </w:pPr>
      <w:r>
        <w:rPr>
          <w:rFonts w:hint="eastAsia" w:ascii="宋体" w:hAnsi="宋体" w:eastAsia="宋体" w:cs="宋体"/>
          <w:b/>
          <w:bCs/>
          <w:szCs w:val="24"/>
          <w:highlight w:val="none"/>
        </w:rPr>
        <w:t xml:space="preserve">（2）制作电子投标文件时必须与投标文件制作软件目录一一对应，将相关资料上传至相应模块。</w:t>
      </w:r>
      <w:r/>
    </w:p>
    <w:p>
      <w:pPr>
        <w:ind w:firstLine="482"/>
        <w:spacing w:line="360" w:lineRule="auto"/>
        <w:tabs>
          <w:tab w:val="left" w:pos="0" w:leader="none"/>
        </w:tabs>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（3）开评标过程中如有问题采购代理机构工作人员会及时通过《投标供应商确认函》留存的手机号与供应商联系。请供应商确保该手机号通讯畅通，否则导致的不利后果由供应商自行承担。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16.1投标文件按统一格式、顺序编写。</w:t>
      </w:r>
      <w:r/>
    </w:p>
    <w:p>
      <w:pPr>
        <w:ind w:firstLine="480"/>
        <w:spacing w:line="360" w:lineRule="auto"/>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16.2《开标一览表》为在开标仪式上唱标的内容，要求按格式填写，统一规范，不得自行增减内容。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17.投标报价（编制）要求的说明</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17.1除非合同中另有规定，投标人对《开标一览表》中的全部货物或服务的报价应</w:t>
      </w:r>
      <w:r>
        <w:rPr>
          <w:rFonts w:hint="eastAsia" w:hAnsi="宋体" w:eastAsia="宋体" w:cs="宋体"/>
          <w:sz w:val="24"/>
          <w:szCs w:val="22"/>
          <w:highlight w:val="none"/>
        </w:rPr>
        <w:t xml:space="preserve">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pStyle w:val="123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17.2投标人应按《公开分项报价》要求的内容填写，并由其法定代表人或授权代理人签署。</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17.3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报价。</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17.4一项投标内容只允许一个报价，采购人不接受任何有选择性的投标报价。</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17.5投标文件报价中的单价和总价全部采用人民币表示，除非合同的特殊条款另有规定。</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18.投标保证金（本项目不涉及）</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19.1自投标截止日起</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天内，投标文件应保持有效。有效期短于这个规定期限的投标将被拒绝。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ind w:firstLine="482"/>
        <w:spacing w:line="360" w:lineRule="auto"/>
        <w:tabs>
          <w:tab w:val="left" w:pos="31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20.投标文件的制作、签署、上传</w:t>
      </w:r>
      <w:r/>
    </w:p>
    <w:p>
      <w:pPr>
        <w:ind w:firstLine="482"/>
        <w:spacing w:line="360" w:lineRule="auto"/>
        <w:tabs>
          <w:tab w:val="left" w:pos="31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20.1本项目采用电子招投标形式，请供应商按照《苏采云系统供应商操作手册》进行制作、上传电子投标文件。</w:t>
      </w:r>
      <w:r/>
    </w:p>
    <w:p>
      <w:pPr>
        <w:ind w:firstLine="480"/>
        <w:spacing w:line="360" w:lineRule="auto"/>
        <w:tabs>
          <w:tab w:val="left" w:pos="312"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20.2制作电子投标文件时，应按照招标文件要求加盖投标人电子公章。</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20.3电子投标文件制作完成后请于投标文件网上提交截止时间前成功上传至“苏采云”系统，否则视为放弃参加该采购项目。</w:t>
      </w:r>
      <w:r>
        <w:rPr>
          <w:rFonts w:hint="eastAsia" w:ascii="宋体" w:hAnsi="宋体" w:eastAsia="宋体" w:cs="宋体"/>
          <w:bCs/>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五、投标文件的递交、补充、修改和撤回</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21.投标文件的递交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21.1投标人应当在在投标截止时间前制作并上传电子投标文件。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21.2投标人通过“苏采云”系统不见面开标大厅在线参与开标活动。（具体操作详见《苏采云系统供应商操作手册》。     </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22.投标截止时间</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22.1投标人应当在招标文件要求投标文件网上提交截止时间前，将投标文件完成提交（上传）。逾期提交（上传）的投标文件，采购人和采购代理机构拒绝接收。</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22.2</w:t>
      </w:r>
      <w:r>
        <w:rPr>
          <w:rFonts w:hint="eastAsia" w:ascii="宋体" w:hAnsi="宋体" w:eastAsia="宋体" w:cs="宋体"/>
          <w:sz w:val="24"/>
          <w:szCs w:val="24"/>
          <w:highlight w:val="none"/>
        </w:rPr>
        <w:t xml:space="preserve">采购人</w:t>
      </w:r>
      <w:r>
        <w:rPr>
          <w:rFonts w:hint="eastAsia" w:ascii="宋体" w:hAnsi="宋体" w:eastAsia="宋体" w:cs="宋体"/>
          <w:bCs/>
          <w:sz w:val="24"/>
          <w:szCs w:val="24"/>
          <w:highlight w:val="none"/>
        </w:rPr>
        <w:t xml:space="preserve">和</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推迟投标截止时间时，将按本须知规定的更正公告的方式对外发布。在这种情况下，</w:t>
      </w:r>
      <w:r>
        <w:rPr>
          <w:rFonts w:hint="eastAsia" w:ascii="宋体" w:hAnsi="宋体" w:eastAsia="宋体" w:cs="宋体"/>
          <w:sz w:val="24"/>
          <w:szCs w:val="24"/>
          <w:highlight w:val="none"/>
        </w:rPr>
        <w:t xml:space="preserve">采购人</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和投标人的权利和义务将受到新的截止期的约束。</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22.3在投标截止时间止成功解密的投标文件少于三份，</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有权宣布本次招标失败。</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23.投标文件的补充、修改和撤回</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六、开标和评标</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24.开标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24.1开标由采购代理机构在线主持，邀请投标人在线参加。投标人应当按照《苏采云系统供应商操作手册》规定，</w:t>
      </w:r>
      <w:r>
        <w:rPr>
          <w:rFonts w:hint="eastAsia" w:ascii="宋体" w:hAnsi="宋体" w:eastAsia="宋体" w:cs="宋体"/>
          <w:b/>
          <w:bCs/>
          <w:sz w:val="24"/>
          <w:szCs w:val="24"/>
          <w:highlight w:val="none"/>
        </w:rPr>
        <w:t xml:space="preserve">参加开标活动和在“苏采云”系统规定的时间内对投标文件进行解密。</w:t>
      </w:r>
      <w:r>
        <w:rPr>
          <w:rFonts w:hint="eastAsia" w:ascii="宋体" w:hAnsi="宋体" w:eastAsia="宋体" w:cs="宋体"/>
          <w:sz w:val="24"/>
          <w:szCs w:val="24"/>
          <w:highlight w:val="none"/>
        </w:rPr>
        <w:t xml:space="preserve">评标委员会成员不得参加开标活动。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24.3.1公开招标采购项目开标结束后，采购人应当依法对投标人的资格进行审查，未通过资格审查的视为无效投标。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24.3.2.1查询时间：投标文件递交截止时间。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24.3.4</w:t>
      </w:r>
      <w:r>
        <w:rPr>
          <w:rFonts w:hint="eastAsia" w:ascii="宋体" w:hAnsi="宋体" w:eastAsia="宋体" w:cs="宋体"/>
          <w:b/>
          <w:bCs/>
          <w:sz w:val="24"/>
          <w:szCs w:val="24"/>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25.评标委员会或评标小组</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25.1评标委员会负责具体评标事务，并独立履行下列职责：</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25.1.1审查、评价投标文件是否符合招标文件的商务、技术等实质性要求；</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25.1.2要求投标人对投标文件有关事项作出澄清或者说明；</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25.1.3对投标文件进行比较和评价；</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25.1.4确定中标候选人名单，以及根据采购人委托直接确定中标人；</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25.1.5向采购人、采购代理机构或者有关部门报告评标中发现的违法行为。</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25.2评标委员会成员应当履行下列义务：</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25.2.1遵纪守法，客观、公正、廉洁地履行职责；</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25.2.2按照招标文件规定的评标办法和评标标准进行评标，对评审意见承担个人责任；</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25.2.3对评标过程和结果，以及投标人的商业秘密保密；</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25.2.4评标委员会根据全体评标成员签字的原始评标记录和评标结果编写评标报告。评标报告应当包括以下内容： </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（一）招标公告刊登的媒体名称、开标日期和地点；</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（二）投标人名单和评标委员会成员名单；</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（三）评标方法和标准；</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（四）开标记录和评标情况及说明，包括无效投标人名单及原因；</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（五）评标结果，确定的中标候选人名单或者经采购人委托直接确定的中标人；</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（六）其他需要说明的情况，包括评标过程中投标人根据评标委员会要求进行的澄清、说明或者补正，评标委员会成员的更换等。</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25.2.5配合相关部门的投诉处理工作；</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25.2.6配合采购人和采购代理机构答复投标人提出的质疑。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26.评标内容的保密</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26.1公开开标后，直到宣布授予中标合同为止，凡属于审查、澄清、评价和比较投标的所有资料，有关授予合同的信息都不应向投标人或与评标无关的其他人泄露。</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26.2在投标文件的审查、澄清、评价和比较以及授予合同的过程中，投标人对采购人、采购代理机构和评标委员会成员施加影响的任何行为，都将取消其中标资格。</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27.对投标文件初审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27.1评标委员会应当对符合资格的投标人的投标文件进行符合性审查，以确定其是否满足招标文件的实质性要求。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投标文件有下列情况之一者评标委员会有权将其拒绝：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27.1.1投标人的投标文件未按照本须知规定制作的；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27.1.2未按本须知规定提交资格文件；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27.1.3与招标文件有重大偏离；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27.1.4投标人拒绝修正错误；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27.1.5投标人的报价是选择性的；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27.1.6投标人的报价只投了部分内容；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27.1.7投标人的投标文件出现了评标委员会认为不应当雷同的情况；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27.1.8其他被评委会认定无效的情况。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（二）大写金额和小写金额不一致的，以大写金额为准；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 评标委员会在评审过程中出现下列情形之一的，评审委员会应当启动异常低价投标（响应）审查程序：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①投标（响应）报价低于采购项目预算50% 的，即投标（响应）报价&lt;采购项目预算×50%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②投标（响应）报价低于采购项目最高限价 45% 的，即投标（响应）报价&lt;采购项目最高限价×45%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③评审委员会认定的供应商报价过低、有可能影响产品质量或者不能诚信履约的其他情形。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27.5 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28.投标的澄清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28.1对于投标文件中含义不明确、同类问题表述不一致或者有明显文字和计算错误的内容，评标委员会应当以书面形式要求投标人作出必要的澄清、说明或者补正。</w:t>
      </w:r>
      <w:r/>
    </w:p>
    <w:p>
      <w:pPr>
        <w:pStyle w:val="123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8</w:t>
      </w:r>
      <w:r>
        <w:rPr>
          <w:rFonts w:hint="eastAsia" w:ascii="宋体" w:hAnsi="宋体" w:eastAsia="宋体" w:cs="宋体"/>
          <w:sz w:val="24"/>
          <w:szCs w:val="24"/>
          <w:highlight w:val="none"/>
        </w:rPr>
        <w:t xml:space="preserve">.2投标人的澄清、说明或者补正应当采用书面形式，并加盖</w:t>
      </w:r>
      <w:r>
        <w:rPr>
          <w:rFonts w:hint="eastAsia" w:ascii="宋体" w:hAnsi="宋体" w:eastAsia="宋体" w:cs="宋体"/>
          <w:sz w:val="24"/>
          <w:szCs w:val="24"/>
          <w:highlight w:val="none"/>
          <w:lang w:val="en-US"/>
        </w:rPr>
        <w:t xml:space="preserve">其单位电子</w:t>
      </w:r>
      <w:r>
        <w:rPr>
          <w:rFonts w:hint="eastAsia" w:ascii="宋体" w:hAnsi="宋体" w:eastAsia="宋体" w:cs="宋体"/>
          <w:sz w:val="24"/>
          <w:szCs w:val="24"/>
          <w:highlight w:val="none"/>
        </w:rPr>
        <w:t xml:space="preserve">公章。投标人的澄清、说明或者补正不得超出投标文件的范围或者改变投标文件的实质性内容。</w:t>
      </w:r>
      <w:r/>
    </w:p>
    <w:p>
      <w:pPr>
        <w:pStyle w:val="123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w:t>
      </w:r>
      <w:r>
        <w:rPr>
          <w:rFonts w:hint="eastAsia" w:ascii="宋体" w:hAnsi="宋体" w:eastAsia="宋体" w:cs="宋体"/>
          <w:sz w:val="24"/>
          <w:szCs w:val="24"/>
          <w:highlight w:val="none"/>
        </w:rPr>
        <w:t xml:space="preserve">供应商应随时保持系统在线，如因供应商自身原因未在规定时间内提交澄清确认资料的，导致的不利后果由供应商自行承担。</w:t>
      </w:r>
      <w:r/>
    </w:p>
    <w:p>
      <w:pPr>
        <w:pStyle w:val="1230"/>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rPr>
        <w:t xml:space="preserve">9</w:t>
      </w:r>
      <w:r>
        <w:rPr>
          <w:rFonts w:hint="eastAsia" w:ascii="宋体" w:hAnsi="宋体" w:eastAsia="宋体" w:cs="宋体"/>
          <w:b/>
          <w:sz w:val="24"/>
          <w:szCs w:val="24"/>
          <w:highlight w:val="none"/>
        </w:rPr>
        <w:t xml:space="preserve">.投标无效</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.1投标人存在下列情况之一的，投标无效:</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一</w:t>
      </w:r>
      <w:r>
        <w:rPr>
          <w:rFonts w:hint="eastAsia" w:ascii="宋体" w:hAnsi="宋体" w:eastAsia="宋体" w:cs="宋体"/>
          <w:sz w:val="24"/>
          <w:szCs w:val="24"/>
          <w:highlight w:val="none"/>
        </w:rPr>
        <w:t xml:space="preserve">）投标文件未按招标文件要求签署、盖章的；</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二</w:t>
      </w:r>
      <w:r>
        <w:rPr>
          <w:rFonts w:hint="eastAsia" w:ascii="宋体" w:hAnsi="宋体" w:eastAsia="宋体" w:cs="宋体"/>
          <w:sz w:val="24"/>
          <w:szCs w:val="24"/>
          <w:highlight w:val="none"/>
        </w:rPr>
        <w:t xml:space="preserve">）不具备招标文件中规定的资格要求的；</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三</w:t>
      </w:r>
      <w:r>
        <w:rPr>
          <w:rFonts w:hint="eastAsia" w:ascii="宋体" w:hAnsi="宋体" w:eastAsia="宋体" w:cs="宋体"/>
          <w:sz w:val="24"/>
          <w:szCs w:val="24"/>
          <w:highlight w:val="none"/>
        </w:rPr>
        <w:t xml:space="preserve">）报价超过招标文件中规定的预算金额或者最高限价的；</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四</w:t>
      </w:r>
      <w:r>
        <w:rPr>
          <w:rFonts w:hint="eastAsia" w:ascii="宋体" w:hAnsi="宋体" w:eastAsia="宋体" w:cs="宋体"/>
          <w:sz w:val="24"/>
          <w:szCs w:val="24"/>
          <w:highlight w:val="none"/>
        </w:rPr>
        <w:t xml:space="preserve">）投标文件含有采购人不能接受的附加条件的；</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（五）法律、法规和招标文件规定的其他无效情形。</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.2投标人应当遵循公平竞争的原则，不得恶意串通，不得妨碍其他投标人的竞争行为，不得损害采购人或者其他投标人的合法权益。</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在评标过程中发现投标人有上述情形的，评标委员会应当认定其投标无效，并书面报告本级财政部门。</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9</w:t>
      </w:r>
      <w:r>
        <w:rPr>
          <w:rFonts w:hint="eastAsia" w:ascii="宋体" w:hAnsi="宋体" w:eastAsia="宋体" w:cs="宋体"/>
          <w:sz w:val="24"/>
          <w:szCs w:val="24"/>
          <w:highlight w:val="none"/>
        </w:rPr>
        <w:t xml:space="preserve">.3有下列情形之一的，视为投标人串通投标，其投标无效：</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（一）不同投标人的投标文件由同一单位或者个人编制；</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（二）不同投标人委托同一单位或者个人办理投标事宜；</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（三）不同投标人的投标文件载明的项目管理成员或者联系人员为同一人；</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（四）不同投标人的投标文件异常一致或者投标报价呈规律性差异；</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（五）不同投标人的投标文件相互混装。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30.1在招标过程中，出现下列情况之一的，应予废标：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30.1.1符合专业条件的供应商或者对招标文件作实质投标的供应商不足三家的；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30.1.3投标人的报价均超过了采购预算，采购人不能支付的；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30.2废标后，采购人和采购代理机构将把废标的理由通知所有投标人。</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31.投标文件的评价和比较</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31.1采用</w:t>
      </w:r>
      <w:r>
        <w:rPr>
          <w:rFonts w:hint="eastAsia" w:ascii="宋体" w:hAnsi="宋体" w:eastAsia="宋体" w:cs="宋体"/>
          <w:b/>
          <w:bCs/>
          <w:szCs w:val="24"/>
          <w:highlight w:val="none"/>
        </w:rPr>
        <w:t xml:space="preserve">综合评分法</w:t>
      </w:r>
      <w:r>
        <w:rPr>
          <w:rFonts w:hint="eastAsia" w:ascii="宋体" w:hAnsi="宋体" w:eastAsia="宋体" w:cs="宋体"/>
          <w:szCs w:val="24"/>
          <w:highlight w:val="none"/>
        </w:rPr>
        <w:t xml:space="preserve">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32.中标单位的确认</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32.1评标委员会根据投标人资格审查情况，对投标文件进行评价和比较，按照评标办法和标准进行评标，并按采购人的委托向采购人推荐中标候选单位。</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32.2经评标委员会</w:t>
      </w:r>
      <w:r>
        <w:rPr>
          <w:rFonts w:hint="eastAsia" w:ascii="宋体" w:hAnsi="宋体" w:eastAsia="宋体" w:cs="宋体"/>
          <w:sz w:val="24"/>
          <w:szCs w:val="24"/>
          <w:highlight w:val="none"/>
        </w:rPr>
        <w:t xml:space="preserve">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在同一招标环节，质疑一次性提出。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33.合同授予标准</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33.1采购人将把合同授予其投标文件在实质上响应招标文件要求和按本须知规定评选出的投标人。确定为中标的投标人必须具有实施本合同的能力和资源。</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34.2中标通知书将成为合同的组成部分，对采购人和中标人具有同等法律效力。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34.3中标通知书发出后，采购人不得违法改变中标结果，中标人无正当理由不得放弃中标。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35.合同的签订</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23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.2 采购人</w:t>
      </w:r>
      <w:r>
        <w:rPr>
          <w:rFonts w:hint="eastAsia" w:ascii="宋体" w:hAnsi="宋体" w:eastAsia="宋体" w:cs="宋体"/>
          <w:sz w:val="24"/>
          <w:szCs w:val="24"/>
          <w:highlight w:val="none"/>
          <w:lang w:val="en-US"/>
        </w:rPr>
        <w:t xml:space="preserve">与中标人所签订的合同不得对招标文件确定的事项和中标人投标文件作实质性修改，</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en-US"/>
        </w:rPr>
        <w:t xml:space="preserve">不得向中标人提出任何不合理的要求作为签订合同的条件。</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.3招标文件、中标人的投标文件及招标过程中有关澄清、承诺文件均应作为合同附件。</w:t>
      </w:r>
      <w:r/>
    </w:p>
    <w:p>
      <w:pPr>
        <w:pStyle w:val="123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12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36. 履约保证金：</w:t>
      </w:r>
      <w:r>
        <w:rPr>
          <w:rFonts w:hint="eastAsia" w:ascii="宋体" w:hAnsi="宋体" w:eastAsia="宋体" w:cs="宋体"/>
          <w:sz w:val="24"/>
          <w:szCs w:val="24"/>
          <w:highlight w:val="none"/>
        </w:rPr>
        <w:t xml:space="preserve">本项目不涉及。</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37.代理服务费</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37.1中标单位须按前附表的规定计算并支付代理服务费，该费用应在领取中标通知书时付清。</w:t>
      </w:r>
      <w:r/>
    </w:p>
    <w:p>
      <w:pPr>
        <w:pStyle w:val="110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37.2中标单位如果未按规定缴纳代理服务费，采购代理机构将保留诉讼的权利。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开票信息</w:t>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W w:w="2288"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报名人名称</w:t>
            </w:r>
            <w:r/>
          </w:p>
        </w:tc>
        <w:tc>
          <w:tcPr>
            <w:tcW w:w="3990"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2288"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3990"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2288"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tc>
        <w:tc>
          <w:tcPr>
            <w:tcW w:w="3990"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2288"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税号</w:t>
            </w:r>
            <w:r/>
          </w:p>
        </w:tc>
        <w:tc>
          <w:tcPr>
            <w:tcW w:w="3990"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2288"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w:t>
            </w:r>
            <w:r/>
          </w:p>
        </w:tc>
        <w:tc>
          <w:tcPr>
            <w:tcW w:w="3990"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2288"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W w:w="3990" w:type="dxa"/>
            <w:vAlign w:val="top"/>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37.4中标单位凭已缴纳代理服务费的银行回单至招标机构领取中标通知书、合同。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有关监督部门将对招投标全过程进行监督。</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39.未尽事宜</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按《中华人民共和国政府采购法》及其他有关的法律法规的规定执行。</w:t>
      </w:r>
      <w:bookmarkStart w:id="22" w:name="_Toc25859"/>
      <w:r/>
      <w:bookmarkStart w:id="23" w:name="_Toc13642115"/>
      <w:r/>
      <w:bookmarkStart w:id="24" w:name="_Toc8079"/>
      <w:r/>
      <w:bookmarkStart w:id="25" w:name="_Toc24702"/>
      <w:r/>
      <w:r/>
    </w:p>
    <w:p>
      <w:pPr>
        <w:jc w:val="center"/>
        <w:spacing w:line="360" w:lineRule="auto"/>
        <w:rPr>
          <w:rFonts w:hint="eastAsia" w:ascii="宋体" w:hAnsi="宋体" w:eastAsia="宋体" w:cs="宋体"/>
          <w:b/>
          <w:bCs/>
          <w:sz w:val="36"/>
          <w:szCs w:val="36"/>
          <w:highlight w:val="none"/>
        </w:rPr>
      </w:pPr>
      <w:r/>
      <w:bookmarkStart w:id="26" w:name="_Toc4744"/>
      <w:r/>
      <w:r/>
    </w:p>
    <w:p>
      <w:pPr>
        <w:rPr>
          <w:rFonts w:hint="eastAsia" w:ascii="宋体" w:hAnsi="宋体" w:eastAsia="宋体" w:cs="宋体"/>
          <w:b/>
          <w:bCs/>
          <w:sz w:val="36"/>
          <w:szCs w:val="36"/>
          <w:highlight w:val="none"/>
        </w:rPr>
      </w:pPr>
      <w:r/>
      <w:bookmarkStart w:id="27" w:name="_Toc14285"/>
      <w:r>
        <w:rPr>
          <w:rFonts w:hint="eastAsia" w:ascii="宋体" w:hAnsi="宋体" w:eastAsia="宋体" w:cs="宋体"/>
          <w:b/>
          <w:bCs/>
          <w:sz w:val="36"/>
          <w:szCs w:val="36"/>
          <w:highlight w:val="none"/>
        </w:rPr>
        <w:br w:type="page" w:clear="all"/>
      </w:r>
      <w:r/>
    </w:p>
    <w:p>
      <w:pPr>
        <w:jc w:val="center"/>
        <w:spacing w:line="360" w:lineRule="auto"/>
        <w:rPr>
          <w:rFonts w:hint="eastAsia" w:ascii="宋体" w:hAnsi="宋体" w:eastAsia="宋体" w:cs="宋体"/>
          <w:b/>
          <w:sz w:val="30"/>
          <w:szCs w:val="30"/>
          <w:highlight w:val="none"/>
        </w:rPr>
        <w:outlineLvl w:val="0"/>
      </w:pPr>
      <w:r>
        <w:rPr>
          <w:rFonts w:hint="eastAsia" w:ascii="宋体" w:hAnsi="宋体" w:eastAsia="宋体" w:cs="宋体"/>
          <w:b/>
          <w:bCs/>
          <w:sz w:val="36"/>
          <w:szCs w:val="36"/>
          <w:highlight w:val="none"/>
        </w:rPr>
        <w:t xml:space="preserve">第三章 投标文件格式</w:t>
      </w:r>
      <w:bookmarkEnd w:id="22"/>
      <w:r/>
      <w:bookmarkEnd w:id="26"/>
      <w:r/>
      <w:bookmarkEnd w:id="27"/>
      <w:r/>
      <w:r/>
    </w:p>
    <w:p>
      <w:pPr>
        <w:pStyle w:val="1101"/>
        <w:ind w:firstLine="0"/>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101"/>
        <w:ind w:firstLine="0"/>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说明：</w:t>
      </w:r>
      <w:r/>
    </w:p>
    <w:p>
      <w:pPr>
        <w:pStyle w:val="1101"/>
        <w:ind w:firstLine="482"/>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对本章所有的投标书格式 ，投标人的补充不得造成与本格式内容有实质性的违背。</w:t>
      </w:r>
      <w:r/>
    </w:p>
    <w:p>
      <w:pPr>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附件1：（投标方）法定代表人授权委托书</w:t>
      </w:r>
      <w:r/>
    </w:p>
    <w:p>
      <w:pPr>
        <w:pStyle w:val="1101"/>
        <w:ind w:firstLine="0"/>
        <w:jc w:val="cente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0"/>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授权委托书</w:t>
      </w:r>
      <w:r/>
    </w:p>
    <w:p>
      <w:pPr>
        <w:pStyle w:val="1101"/>
        <w:ind w:firstLine="0"/>
        <w:jc w:val="cente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本授权委托书声明：我</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（姓名）系</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（投标人名称）的法定代表人，现授权委托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（投标人名称）的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（姓名）为我公司代理人，以本公司的名义参加</w:t>
      </w:r>
      <w:r>
        <w:rPr>
          <w:rFonts w:hint="eastAsia" w:ascii="宋体" w:hAnsi="宋体" w:eastAsia="宋体" w:cs="宋体"/>
          <w:highlight w:val="none"/>
          <w:lang w:eastAsia="zh-CN"/>
        </w:rPr>
        <w:t xml:space="preserve">苏州博思源管理咨询有限公司</w:t>
      </w:r>
      <w:r>
        <w:rPr>
          <w:rFonts w:hint="eastAsia" w:ascii="宋体" w:hAnsi="宋体" w:eastAsia="宋体" w:cs="宋体"/>
          <w:highlight w:val="none"/>
        </w:rPr>
        <w:t xml:space="preserve">组织实施的编号为</w:t>
      </w:r>
      <w:r>
        <w:rPr>
          <w:rFonts w:hint="eastAsia" w:ascii="宋体" w:hAnsi="宋体" w:eastAsia="宋体" w:cs="宋体"/>
          <w:highlight w:val="none"/>
          <w:u w:val="single"/>
          <w:lang w:eastAsia="zh-CN"/>
        </w:rPr>
        <w:t xml:space="preserve">JSZC-320506104-BSYY-G2025-000</w:t>
      </w:r>
      <w:r>
        <w:rPr>
          <w:rFonts w:hint="eastAsia" w:ascii="宋体" w:hAnsi="宋体" w:eastAsia="宋体" w:cs="宋体"/>
          <w:highlight w:val="none"/>
          <w:u w:val="single"/>
          <w:lang w:eastAsia="zh-CN"/>
        </w:rPr>
        <w:t xml:space="preserve">7</w:t>
      </w:r>
      <w:r>
        <w:rPr>
          <w:rFonts w:hint="eastAsia" w:ascii="宋体" w:hAnsi="宋体" w:eastAsia="宋体" w:cs="宋体"/>
          <w:highlight w:val="none"/>
        </w:rPr>
        <w:t xml:space="preserve">号的招标活动。代理人在开标、评标、合同招标过程中所签署的一切文件和处理与这有关的一切事务，我均予以承认。</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代理人在授权委托书有效期内签署的所有文件不因授权委托的撤销而失效，除非有撤销授权委托的书面通知，本授权委托书自投标开始至合同履行完毕止。</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代理人无转委托权。特此委托。</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投标人：（盖章）</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法定代表人：（签字或盖章）</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代理人：（签字或盖章）</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日期：      年    月    日</w:t>
      </w:r>
      <w:r/>
    </w:p>
    <w:p>
      <w:pPr>
        <w:pStyle w:val="1101"/>
        <w:ind w:firstLine="0"/>
        <w:jc w:val="both"/>
        <w:spacing w:line="320" w:lineRule="exact"/>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320" w:lineRule="exact"/>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320" w:lineRule="exact"/>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320" w:lineRule="exact"/>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pStyle w:val="1101"/>
        <w:ind w:firstLine="0"/>
        <w:jc w:val="both"/>
        <w:spacing w:line="320" w:lineRule="exact"/>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320" w:lineRule="exact"/>
        <w:rPr>
          <w:rFonts w:hint="eastAsia" w:ascii="宋体" w:hAnsi="宋体" w:eastAsia="宋体" w:cs="宋体"/>
          <w:b/>
          <w:highlight w:val="none"/>
        </w:rPr>
      </w:pPr>
      <w:r>
        <w:rPr>
          <w:rFonts w:hint="eastAsia" w:ascii="宋体" w:hAnsi="宋体" w:eastAsia="宋体" w:cs="宋体"/>
          <w:b/>
          <w:highlight w:val="none"/>
        </w:rPr>
        <w:t xml:space="preserve">附件2：投标函</w:t>
      </w:r>
      <w:r/>
    </w:p>
    <w:p>
      <w:pPr>
        <w:pStyle w:val="1159"/>
        <w:jc w:val="center"/>
        <w:spacing w:line="320" w:lineRule="exact"/>
        <w:rPr>
          <w:rFonts w:hint="eastAsia" w:hAnsi="宋体" w:eastAsia="宋体" w:cs="宋体"/>
          <w:b/>
          <w:sz w:val="24"/>
          <w:szCs w:val="24"/>
          <w:highlight w:val="none"/>
        </w:rPr>
      </w:pPr>
      <w:r>
        <w:rPr>
          <w:rFonts w:hint="eastAsia" w:hAnsi="宋体" w:eastAsia="宋体" w:cs="宋体"/>
          <w:b/>
          <w:sz w:val="24"/>
          <w:szCs w:val="24"/>
          <w:highlight w:val="none"/>
        </w:rPr>
      </w:r>
      <w:r/>
    </w:p>
    <w:p>
      <w:pPr>
        <w:pStyle w:val="1159"/>
        <w:jc w:val="center"/>
        <w:spacing w:line="320" w:lineRule="exact"/>
        <w:rPr>
          <w:rFonts w:hint="eastAsia" w:hAnsi="宋体" w:eastAsia="宋体" w:cs="宋体"/>
          <w:b/>
          <w:sz w:val="24"/>
          <w:szCs w:val="24"/>
          <w:highlight w:val="none"/>
        </w:rPr>
      </w:pPr>
      <w:r>
        <w:rPr>
          <w:rFonts w:hint="eastAsia" w:hAnsi="宋体" w:eastAsia="宋体" w:cs="宋体"/>
          <w:b/>
          <w:sz w:val="24"/>
          <w:szCs w:val="24"/>
          <w:highlight w:val="none"/>
        </w:rPr>
        <w:t xml:space="preserve">投标函</w:t>
      </w:r>
      <w:r/>
    </w:p>
    <w:p>
      <w:pPr>
        <w:pStyle w:val="1159"/>
        <w:jc w:val="center"/>
        <w:spacing w:line="320" w:lineRule="exact"/>
        <w:rPr>
          <w:rFonts w:hint="eastAsia" w:hAnsi="宋体" w:eastAsia="宋体" w:cs="宋体"/>
          <w:sz w:val="24"/>
          <w:szCs w:val="24"/>
          <w:highlight w:val="none"/>
        </w:rPr>
      </w:pPr>
      <w:r>
        <w:rPr>
          <w:rFonts w:hint="eastAsia" w:hAnsi="宋体" w:eastAsia="宋体" w:cs="宋体"/>
          <w:sz w:val="24"/>
          <w:szCs w:val="24"/>
          <w:highlight w:val="none"/>
        </w:rPr>
      </w:r>
      <w:r/>
    </w:p>
    <w:p>
      <w:pPr>
        <w:pStyle w:val="1159"/>
        <w:rPr>
          <w:rFonts w:hint="eastAsia" w:hAnsi="宋体" w:eastAsia="宋体" w:cs="宋体"/>
          <w:sz w:val="24"/>
          <w:highlight w:val="none"/>
        </w:rPr>
      </w:pPr>
      <w:r>
        <w:rPr>
          <w:rFonts w:hint="eastAsia" w:hAnsi="宋体" w:eastAsia="宋体" w:cs="宋体"/>
          <w:sz w:val="24"/>
          <w:highlight w:val="none"/>
          <w:u w:val="single"/>
        </w:rPr>
        <w:t xml:space="preserve"> </w:t>
      </w:r>
      <w:r>
        <w:rPr>
          <w:rFonts w:hint="eastAsia" w:hAnsi="宋体" w:eastAsia="宋体" w:cs="宋体"/>
          <w:sz w:val="24"/>
          <w:highlight w:val="none"/>
          <w:u w:val="single"/>
          <w:lang w:eastAsia="zh-CN"/>
        </w:rPr>
        <w:t xml:space="preserve">苏州博思源管理咨询有限公司</w:t>
      </w:r>
      <w:r>
        <w:rPr>
          <w:rFonts w:hint="eastAsia" w:hAnsi="宋体" w:eastAsia="宋体" w:cs="宋体"/>
          <w:sz w:val="24"/>
          <w:highlight w:val="none"/>
          <w:u w:val="single"/>
        </w:rPr>
        <w:t xml:space="preserve"> </w:t>
      </w:r>
      <w:r>
        <w:rPr>
          <w:rFonts w:hint="eastAsia" w:hAnsi="宋体" w:eastAsia="宋体" w:cs="宋体"/>
          <w:sz w:val="24"/>
          <w:highlight w:val="none"/>
        </w:rPr>
        <w:t xml:space="preserve">：</w:t>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我们收到贵公司</w:t>
      </w:r>
      <w:r>
        <w:rPr>
          <w:rFonts w:hint="eastAsia" w:hAnsi="宋体" w:eastAsia="宋体" w:cs="宋体"/>
          <w:sz w:val="24"/>
          <w:highlight w:val="none"/>
          <w:u w:val="single"/>
        </w:rPr>
        <w:t xml:space="preserve"> </w:t>
      </w:r>
      <w:r>
        <w:rPr>
          <w:rFonts w:hint="eastAsia" w:hAnsi="宋体" w:eastAsia="宋体" w:cs="宋体"/>
          <w:sz w:val="24"/>
          <w:highlight w:val="none"/>
          <w:u w:val="single"/>
          <w:lang w:eastAsia="zh-CN"/>
        </w:rPr>
        <w:t xml:space="preserve">JSZC-320506104-BSYY-G2025-000</w:t>
      </w:r>
      <w:r>
        <w:rPr>
          <w:rFonts w:hint="eastAsia" w:hAnsi="宋体" w:eastAsia="宋体" w:cs="宋体"/>
          <w:sz w:val="24"/>
          <w:highlight w:val="none"/>
          <w:u w:val="single"/>
          <w:lang w:eastAsia="zh-CN"/>
        </w:rPr>
        <w:t xml:space="preserve">7</w:t>
      </w:r>
      <w:r>
        <w:rPr>
          <w:rFonts w:hint="eastAsia" w:hAnsi="宋体" w:eastAsia="宋体" w:cs="宋体"/>
          <w:sz w:val="24"/>
          <w:highlight w:val="none"/>
          <w:u w:val="single"/>
        </w:rPr>
        <w:t xml:space="preserve"> </w:t>
      </w:r>
      <w:r>
        <w:rPr>
          <w:rFonts w:hint="eastAsia" w:hAnsi="宋体" w:eastAsia="宋体" w:cs="宋体"/>
          <w:sz w:val="24"/>
          <w:highlight w:val="none"/>
        </w:rPr>
        <w:t xml:space="preserve">号招标文件，经仔细阅读和研究，我们决定参加投标。</w:t>
      </w:r>
      <w:r/>
    </w:p>
    <w:p>
      <w:pPr>
        <w:pStyle w:val="1159"/>
        <w:ind w:firstLine="480"/>
        <w:rPr>
          <w:rFonts w:hint="eastAsia" w:hAnsi="宋体" w:eastAsia="宋体" w:cs="宋体"/>
          <w:sz w:val="24"/>
          <w:szCs w:val="22"/>
          <w:highlight w:val="none"/>
        </w:rPr>
      </w:pPr>
      <w:r>
        <w:rPr>
          <w:rFonts w:hint="eastAsia" w:hAnsi="宋体" w:eastAsia="宋体" w:cs="宋体"/>
          <w:sz w:val="24"/>
          <w:highlight w:val="none"/>
        </w:rPr>
        <w:t xml:space="preserve">1．我们愿意按照招标文件的一切要求，提供完成该项目的全部内容</w:t>
      </w:r>
      <w:r>
        <w:rPr>
          <w:rFonts w:hint="eastAsia" w:hAnsi="宋体" w:eastAsia="宋体" w:cs="宋体"/>
          <w:sz w:val="24"/>
          <w:szCs w:val="22"/>
          <w:highlight w:val="none"/>
        </w:rPr>
        <w:t xml:space="preserve">，我们的投标报价应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2．如果我们的投标书被接受，我们将严格履行招标文件中规定的每一项要求，按期、按质、按量履行合同的义务。</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3．我们已详细审查全部招标文件，包括补充文件（更正公告）(如有)。我们完全理解并同意放弃对这方面有不明及误解的权利。</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4．我们同意按招标文件中的规定，本投标书的有效期限为投标截止日起</w:t>
      </w:r>
      <w:r>
        <w:rPr>
          <w:rFonts w:hint="eastAsia" w:hAnsi="宋体" w:eastAsia="宋体" w:cs="宋体"/>
          <w:sz w:val="24"/>
          <w:highlight w:val="none"/>
          <w:u w:val="single"/>
        </w:rPr>
        <w:t xml:space="preserve">90</w:t>
      </w:r>
      <w:r>
        <w:rPr>
          <w:rFonts w:hint="eastAsia" w:hAnsi="宋体" w:eastAsia="宋体" w:cs="宋体"/>
          <w:sz w:val="24"/>
          <w:highlight w:val="none"/>
        </w:rPr>
        <w:t xml:space="preserve">天。</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5．我们愿意提供采购人或采购代理机构在招标文件中要求的所有资料。</w:t>
      </w:r>
      <w:r/>
    </w:p>
    <w:p>
      <w:pPr>
        <w:ind w:firstLine="480"/>
        <w:rPr>
          <w:rFonts w:hint="eastAsia" w:ascii="宋体" w:hAnsi="宋体" w:eastAsia="宋体" w:cs="宋体"/>
          <w:sz w:val="24"/>
          <w:szCs w:val="24"/>
          <w:highlight w:val="none"/>
        </w:rPr>
      </w:pPr>
      <w:r>
        <w:rPr>
          <w:rFonts w:hint="eastAsia" w:ascii="宋体" w:hAnsi="宋体" w:eastAsia="宋体" w:cs="宋体"/>
          <w:sz w:val="24"/>
          <w:highlight w:val="none"/>
        </w:rPr>
        <w:t xml:space="preserve">6．</w:t>
      </w:r>
      <w:r>
        <w:rPr>
          <w:rFonts w:hint="eastAsia" w:ascii="宋体" w:hAnsi="宋体" w:eastAsia="宋体" w:cs="宋体"/>
          <w:sz w:val="24"/>
          <w:szCs w:val="24"/>
          <w:highlight w:val="none"/>
        </w:rPr>
        <w:t xml:space="preserve">我们声明：我们在参加本次政府采购活动前3年内在经营活动中没有重大违法记录。</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7．我们愿意遵守招标公告及招标文件中所列的收费标准。</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8．我们承诺该项投标在开标后的全过程中保持有效，不作任何更改和变动。</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9．如果我们中标，我们愿意按招标文件规定缴纳履约保证金及支付代理服务费；</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10．我们承诺我公司符合招标文件投标人须知中“合格投标人的资格条件”的要求，若与真实情况不符，本公司愿意承担由此而产生的一切后果。</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11．综合说明：</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（1）伴随服务及配合措施；</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（2）要求甲方提供的配合；</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（3）对招标文件有不同意见的偏离说明；</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（4）其它说明。</w:t>
      </w:r>
      <w:r/>
    </w:p>
    <w:p>
      <w:pPr>
        <w:pStyle w:val="1163"/>
        <w:ind w:firstLine="480"/>
        <w:rPr>
          <w:rFonts w:hint="eastAsia" w:hAnsi="宋体" w:eastAsia="宋体" w:cs="宋体"/>
          <w:sz w:val="24"/>
          <w:highlight w:val="none"/>
        </w:rPr>
      </w:pPr>
      <w:r>
        <w:rPr>
          <w:rFonts w:hint="eastAsia" w:hAnsi="宋体" w:eastAsia="宋体" w:cs="宋体"/>
          <w:sz w:val="24"/>
          <w:highlight w:val="none"/>
        </w:rPr>
        <w:t xml:space="preserve">所有有关标书的函电，请按下列地址联系：</w:t>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单位：</w:t>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 xml:space="preserve">联系人：</w:t>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地址：</w:t>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 xml:space="preserve">邮政编码：</w:t>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联系电话：</w:t>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ab/>
      </w:r>
      <w:r>
        <w:rPr>
          <w:rFonts w:hint="eastAsia" w:hAnsi="宋体" w:eastAsia="宋体" w:cs="宋体"/>
          <w:sz w:val="24"/>
          <w:highlight w:val="none"/>
        </w:rPr>
        <w:t xml:space="preserve">传真：</w:t>
      </w:r>
      <w:r/>
    </w:p>
    <w:p>
      <w:pPr>
        <w:pStyle w:val="1159"/>
        <w:ind w:firstLine="480"/>
        <w:rPr>
          <w:rFonts w:hint="eastAsia" w:hAnsi="宋体" w:eastAsia="宋体" w:cs="宋体"/>
          <w:sz w:val="24"/>
          <w:highlight w:val="none"/>
        </w:rPr>
      </w:pPr>
      <w:r>
        <w:rPr>
          <w:rFonts w:hint="eastAsia" w:hAnsi="宋体" w:eastAsia="宋体" w:cs="宋体"/>
          <w:sz w:val="24"/>
          <w:highlight w:val="none"/>
        </w:rPr>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投标人：（盖章）</w:t>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法定代表人或授权代理人：（签字或盖章）</w:t>
      </w:r>
      <w:r/>
    </w:p>
    <w:p>
      <w:pPr>
        <w:pStyle w:val="1159"/>
        <w:ind w:firstLine="480"/>
        <w:rPr>
          <w:rFonts w:hint="eastAsia" w:hAnsi="宋体" w:eastAsia="宋体" w:cs="宋体"/>
          <w:sz w:val="24"/>
          <w:highlight w:val="none"/>
        </w:rPr>
      </w:pPr>
      <w:r>
        <w:rPr>
          <w:rFonts w:hint="eastAsia" w:hAnsi="宋体" w:eastAsia="宋体" w:cs="宋体"/>
          <w:sz w:val="24"/>
          <w:highlight w:val="none"/>
        </w:rPr>
        <w:t xml:space="preserve">日期：      年    月    日</w:t>
      </w:r>
      <w:r/>
    </w:p>
    <w:p>
      <w:pPr>
        <w:pStyle w:val="1159"/>
        <w:rPr>
          <w:rFonts w:hint="eastAsia" w:hAnsi="宋体" w:eastAsia="宋体" w:cs="宋体"/>
          <w:b/>
          <w:sz w:val="24"/>
          <w:szCs w:val="24"/>
          <w:highlight w:val="none"/>
        </w:rPr>
      </w:pPr>
      <w:r>
        <w:rPr>
          <w:rFonts w:hint="eastAsia" w:hAnsi="宋体" w:eastAsia="宋体" w:cs="宋体"/>
          <w:highlight w:val="none"/>
        </w:rPr>
        <w:br w:type="page" w:clear="all"/>
      </w:r>
      <w:r>
        <w:rPr>
          <w:rFonts w:hint="eastAsia" w:hAnsi="宋体" w:eastAsia="宋体" w:cs="宋体"/>
          <w:b/>
          <w:highlight w:val="none"/>
        </w:rPr>
        <w:t xml:space="preserve">附件</w:t>
      </w:r>
      <w:r>
        <w:rPr>
          <w:rFonts w:hint="eastAsia" w:hAnsi="宋体" w:eastAsia="宋体" w:cs="宋体"/>
          <w:b/>
          <w:sz w:val="24"/>
          <w:szCs w:val="24"/>
          <w:highlight w:val="none"/>
        </w:rPr>
        <w:t xml:space="preserve">3：开标一览表</w:t>
      </w:r>
      <w:r/>
    </w:p>
    <w:p>
      <w:pPr>
        <w:pStyle w:val="1159"/>
        <w:jc w:val="center"/>
        <w:spacing w:line="360" w:lineRule="auto"/>
        <w:rPr>
          <w:rFonts w:hint="eastAsia" w:hAnsi="宋体" w:eastAsia="宋体" w:cs="宋体"/>
          <w:b/>
          <w:sz w:val="24"/>
          <w:szCs w:val="24"/>
          <w:highlight w:val="none"/>
        </w:rPr>
      </w:pPr>
      <w:r>
        <w:rPr>
          <w:rFonts w:hint="eastAsia" w:hAnsi="宋体" w:eastAsia="宋体" w:cs="宋体"/>
          <w:b/>
          <w:sz w:val="24"/>
          <w:szCs w:val="24"/>
          <w:highlight w:val="none"/>
        </w:rPr>
      </w:r>
      <w:r/>
    </w:p>
    <w:p>
      <w:pPr>
        <w:pStyle w:val="1159"/>
        <w:jc w:val="center"/>
        <w:spacing w:line="360" w:lineRule="auto"/>
        <w:rPr>
          <w:rFonts w:hint="eastAsia" w:hAnsi="宋体" w:eastAsia="宋体" w:cs="宋体"/>
          <w:b/>
          <w:sz w:val="24"/>
          <w:szCs w:val="24"/>
          <w:highlight w:val="none"/>
        </w:rPr>
      </w:pPr>
      <w:r>
        <w:rPr>
          <w:rFonts w:hint="eastAsia" w:hAnsi="宋体" w:eastAsia="宋体" w:cs="宋体"/>
          <w:b/>
          <w:sz w:val="24"/>
          <w:szCs w:val="24"/>
          <w:highlight w:val="none"/>
        </w:rPr>
        <w:t xml:space="preserve">开标一览表</w:t>
      </w:r>
      <w:r/>
    </w:p>
    <w:p>
      <w:pPr>
        <w:pStyle w:val="1159"/>
        <w:ind w:firstLine="24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分包号：                                                价格单位：元</w:t>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0"/>
        <w:gridCol w:w="2686"/>
        <w:gridCol w:w="2235"/>
        <w:gridCol w:w="776"/>
      </w:tblGrid>
      <w:tr>
        <w:trPr>
          <w:jc w:val="center"/>
        </w:trPr>
        <w:tc>
          <w:tcPr>
            <w:tcW w:w="2630" w:type="dxa"/>
            <w:vAlign w:val="center"/>
            <w:textDirection w:val="lrTb"/>
            <w:noWrap w:val="false"/>
          </w:tcPr>
          <w:p>
            <w:pPr>
              <w:pStyle w:val="1159"/>
              <w:jc w:val="center"/>
              <w:spacing w:before="156" w:after="156"/>
              <w:rPr>
                <w:rFonts w:hint="eastAsia" w:hAnsi="宋体" w:eastAsia="宋体" w:cs="宋体"/>
                <w:sz w:val="24"/>
                <w:szCs w:val="24"/>
                <w:highlight w:val="none"/>
              </w:rPr>
            </w:pPr>
            <w:r>
              <w:rPr>
                <w:rFonts w:hint="eastAsia" w:hAnsi="宋体" w:eastAsia="宋体" w:cs="宋体"/>
                <w:sz w:val="24"/>
                <w:szCs w:val="24"/>
                <w:highlight w:val="none"/>
              </w:rPr>
              <w:t xml:space="preserve">项目名称</w:t>
            </w:r>
            <w:r/>
          </w:p>
        </w:tc>
        <w:tc>
          <w:tcPr>
            <w:tcW w:w="2686" w:type="dxa"/>
            <w:vAlign w:val="center"/>
            <w:textDirection w:val="lrTb"/>
            <w:noWrap w:val="false"/>
          </w:tcPr>
          <w:p>
            <w:pPr>
              <w:pStyle w:val="1159"/>
              <w:jc w:val="center"/>
              <w:spacing w:before="156" w:after="156"/>
              <w:rPr>
                <w:rFonts w:hint="eastAsia" w:hAnsi="宋体" w:eastAsia="宋体" w:cs="宋体"/>
                <w:sz w:val="24"/>
                <w:szCs w:val="24"/>
                <w:highlight w:val="none"/>
              </w:rPr>
            </w:pPr>
            <w:r>
              <w:rPr>
                <w:rFonts w:hint="eastAsia" w:hAnsi="宋体" w:eastAsia="宋体" w:cs="宋体"/>
                <w:sz w:val="24"/>
                <w:szCs w:val="24"/>
                <w:highlight w:val="none"/>
              </w:rPr>
              <w:t xml:space="preserve">投标报价</w:t>
            </w:r>
            <w:r/>
          </w:p>
        </w:tc>
        <w:tc>
          <w:tcPr>
            <w:tcW w:w="2235" w:type="dxa"/>
            <w:vAlign w:val="top"/>
            <w:textDirection w:val="lrTb"/>
            <w:noWrap w:val="false"/>
          </w:tcPr>
          <w:p>
            <w:pPr>
              <w:pStyle w:val="1159"/>
              <w:jc w:val="center"/>
              <w:spacing w:before="156" w:after="156"/>
              <w:rPr>
                <w:rFonts w:hint="eastAsia" w:hAnsi="宋体" w:eastAsia="宋体" w:cs="宋体"/>
                <w:sz w:val="24"/>
                <w:szCs w:val="24"/>
                <w:highlight w:val="none"/>
              </w:rPr>
            </w:pPr>
            <w:r>
              <w:rPr>
                <w:rFonts w:hint="eastAsia" w:hAnsi="宋体" w:eastAsia="宋体" w:cs="宋体"/>
                <w:sz w:val="24"/>
                <w:szCs w:val="24"/>
                <w:highlight w:val="none"/>
              </w:rPr>
              <w:t xml:space="preserve">服务期限</w:t>
            </w:r>
            <w:r/>
          </w:p>
        </w:tc>
        <w:tc>
          <w:tcPr>
            <w:tcW w:w="776" w:type="dxa"/>
            <w:vAlign w:val="center"/>
            <w:textDirection w:val="lrTb"/>
            <w:noWrap w:val="false"/>
          </w:tcPr>
          <w:p>
            <w:pPr>
              <w:pStyle w:val="1159"/>
              <w:jc w:val="center"/>
              <w:spacing w:before="156" w:after="156"/>
              <w:rPr>
                <w:rFonts w:hint="eastAsia" w:hAnsi="宋体" w:eastAsia="宋体" w:cs="宋体"/>
                <w:sz w:val="24"/>
                <w:szCs w:val="24"/>
                <w:highlight w:val="none"/>
              </w:rPr>
            </w:pPr>
            <w:r>
              <w:rPr>
                <w:rFonts w:hint="eastAsia" w:hAnsi="宋体" w:eastAsia="宋体" w:cs="宋体"/>
                <w:sz w:val="24"/>
                <w:szCs w:val="24"/>
                <w:highlight w:val="none"/>
              </w:rPr>
              <w:t xml:space="preserve">备注</w:t>
            </w:r>
            <w:r/>
          </w:p>
        </w:tc>
      </w:tr>
      <w:tr>
        <w:trPr>
          <w:jc w:val="center"/>
          <w:trHeight w:val="90"/>
        </w:trPr>
        <w:tc>
          <w:tcPr>
            <w:tcW w:w="263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6" w:type="dxa"/>
            <w:vAlign w:val="center"/>
            <w:textDirection w:val="lrTb"/>
            <w:noWrap w:val="false"/>
          </w:tcPr>
          <w:p>
            <w:pPr>
              <w:pStyle w:val="1159"/>
              <w:jc w:val="left"/>
              <w:spacing w:before="156" w:after="156"/>
              <w:rPr>
                <w:rFonts w:hint="eastAsia" w:hAnsi="宋体" w:eastAsia="宋体" w:cs="宋体"/>
                <w:sz w:val="24"/>
                <w:szCs w:val="24"/>
                <w:highlight w:val="none"/>
              </w:rPr>
            </w:pPr>
            <w:r>
              <w:rPr>
                <w:rFonts w:hint="eastAsia" w:hAnsi="宋体" w:eastAsia="宋体" w:cs="宋体"/>
                <w:sz w:val="24"/>
                <w:szCs w:val="24"/>
                <w:highlight w:val="none"/>
              </w:rPr>
              <w:t xml:space="preserve">    </w:t>
            </w:r>
            <w:r>
              <w:rPr>
                <w:rFonts w:hint="eastAsia" w:hAnsi="宋体" w:eastAsia="宋体" w:cs="宋体"/>
                <w:sz w:val="24"/>
                <w:szCs w:val="24"/>
                <w:highlight w:val="none"/>
                <w:u w:val="single"/>
              </w:rPr>
              <w:t xml:space="preserve">           </w:t>
            </w:r>
            <w:r/>
          </w:p>
        </w:tc>
        <w:tc>
          <w:tcPr>
            <w:tcW w:w="2235" w:type="dxa"/>
            <w:vAlign w:val="top"/>
            <w:textDirection w:val="lrTb"/>
            <w:noWrap w:val="false"/>
          </w:tcPr>
          <w:p>
            <w:pPr>
              <w:pStyle w:val="1159"/>
              <w:jc w:val="center"/>
              <w:spacing w:before="156" w:after="156"/>
              <w:rPr>
                <w:rFonts w:hint="eastAsia" w:hAnsi="宋体" w:eastAsia="宋体" w:cs="宋体"/>
                <w:sz w:val="24"/>
                <w:szCs w:val="24"/>
                <w:highlight w:val="none"/>
              </w:rPr>
            </w:pPr>
            <w:r>
              <w:rPr>
                <w:rFonts w:hint="eastAsia" w:hAnsi="宋体" w:eastAsia="宋体" w:cs="宋体"/>
                <w:sz w:val="24"/>
                <w:szCs w:val="24"/>
                <w:highlight w:val="none"/>
              </w:rPr>
            </w:r>
            <w:r/>
          </w:p>
        </w:tc>
        <w:tc>
          <w:tcPr>
            <w:tcW w:w="776" w:type="dxa"/>
            <w:vAlign w:val="center"/>
            <w:textDirection w:val="lrTb"/>
            <w:noWrap w:val="false"/>
          </w:tcPr>
          <w:p>
            <w:pPr>
              <w:pStyle w:val="1159"/>
              <w:ind w:firstLine="480"/>
              <w:jc w:val="center"/>
              <w:spacing w:before="156" w:after="156"/>
              <w:rPr>
                <w:rFonts w:hint="eastAsia" w:hAnsi="宋体" w:eastAsia="宋体" w:cs="宋体"/>
                <w:sz w:val="24"/>
                <w:szCs w:val="24"/>
                <w:highlight w:val="none"/>
              </w:rPr>
            </w:pPr>
            <w:r>
              <w:rPr>
                <w:rFonts w:hint="eastAsia" w:hAnsi="宋体" w:eastAsia="宋体" w:cs="宋体"/>
                <w:sz w:val="24"/>
                <w:szCs w:val="24"/>
                <w:highlight w:val="none"/>
              </w:rPr>
            </w:r>
            <w:r/>
          </w:p>
        </w:tc>
      </w:tr>
    </w:tbl>
    <w:p>
      <w:pPr>
        <w:ind w:firstLine="421"/>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1159"/>
        <w:ind w:firstLine="480"/>
        <w:spacing w:line="360" w:lineRule="auto"/>
        <w:rPr>
          <w:rFonts w:hAnsi="宋体" w:eastAsia="宋体" w:cs="宋体"/>
          <w:sz w:val="24"/>
          <w:highlight w:val="none"/>
        </w:rPr>
      </w:pPr>
      <w:r>
        <w:rPr>
          <w:rFonts w:hAnsi="宋体" w:eastAsia="宋体" w:cs="宋体"/>
          <w:sz w:val="24"/>
          <w:highlight w:val="none"/>
        </w:rPr>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投标人：（盖章）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法定代表人或授权代理人：（签字或盖章）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日期：     年    月    日</w:t>
      </w:r>
      <w:r/>
    </w:p>
    <w:p>
      <w:pPr>
        <w:jc w:val="left"/>
        <w:spacing w:line="400" w:lineRule="exact"/>
        <w:rPr>
          <w:rFonts w:hint="eastAsia" w:ascii="宋体" w:hAnsi="宋体" w:eastAsia="宋体" w:cs="宋体"/>
          <w:b/>
          <w:highlight w:val="none"/>
        </w:rPr>
      </w:pPr>
      <w:r>
        <w:rPr>
          <w:rFonts w:hint="eastAsia" w:ascii="宋体" w:hAnsi="宋体" w:eastAsia="宋体" w:cs="宋体"/>
          <w:b/>
          <w:highlight w:val="none"/>
        </w:rPr>
      </w:r>
      <w:r/>
    </w:p>
    <w:p>
      <w:pPr>
        <w:jc w:val="left"/>
        <w:spacing w:line="400" w:lineRule="exact"/>
        <w:rPr>
          <w:rFonts w:hint="eastAsia" w:ascii="宋体" w:hAnsi="宋体" w:eastAsia="宋体" w:cs="宋体"/>
          <w:b/>
          <w:highlight w:val="none"/>
        </w:rPr>
      </w:pPr>
      <w:r>
        <w:rPr>
          <w:rFonts w:hint="eastAsia" w:ascii="宋体" w:hAnsi="宋体" w:eastAsia="宋体" w:cs="宋体"/>
          <w:b/>
          <w:highlight w:val="none"/>
        </w:rPr>
      </w:r>
      <w:r/>
    </w:p>
    <w:p>
      <w:pPr>
        <w:jc w:val="left"/>
        <w:spacing w:line="400" w:lineRule="exact"/>
        <w:rPr>
          <w:rFonts w:hint="eastAsia" w:ascii="宋体" w:hAnsi="宋体" w:eastAsia="宋体" w:cs="宋体"/>
          <w:b/>
          <w:highlight w:val="none"/>
        </w:rPr>
      </w:pPr>
      <w:r>
        <w:rPr>
          <w:rFonts w:hint="eastAsia" w:ascii="宋体" w:hAnsi="宋体" w:eastAsia="宋体" w:cs="宋体"/>
          <w:b/>
          <w:highlight w:val="none"/>
        </w:rPr>
      </w:r>
      <w:r/>
    </w:p>
    <w:p>
      <w:pPr>
        <w:jc w:val="left"/>
        <w:spacing w:line="400" w:lineRule="exact"/>
        <w:rPr>
          <w:rFonts w:hint="eastAsia" w:ascii="宋体" w:hAnsi="宋体" w:eastAsia="宋体" w:cs="宋体"/>
          <w:b/>
          <w:highlight w:val="none"/>
        </w:rPr>
      </w:pPr>
      <w:r>
        <w:rPr>
          <w:rFonts w:hint="eastAsia" w:ascii="宋体" w:hAnsi="宋体" w:eastAsia="宋体" w:cs="宋体"/>
          <w:b/>
          <w:highlight w:val="none"/>
        </w:rPr>
      </w:r>
      <w:r/>
    </w:p>
    <w:p>
      <w:pPr>
        <w:jc w:val="left"/>
        <w:spacing w:line="400" w:lineRule="exact"/>
        <w:rPr>
          <w:rFonts w:hint="eastAsia" w:ascii="宋体" w:hAnsi="宋体" w:eastAsia="宋体" w:cs="宋体"/>
          <w:b/>
          <w:highlight w:val="none"/>
        </w:rPr>
      </w:pPr>
      <w:r>
        <w:rPr>
          <w:rFonts w:hint="eastAsia" w:ascii="宋体" w:hAnsi="宋体" w:eastAsia="宋体" w:cs="宋体"/>
          <w:b/>
          <w:highlight w:val="none"/>
        </w:rPr>
      </w:r>
      <w:r/>
    </w:p>
    <w:p>
      <w:pPr>
        <w:jc w:val="left"/>
        <w:spacing w:line="400" w:lineRule="exact"/>
        <w:rPr>
          <w:rFonts w:hint="eastAsia" w:ascii="宋体" w:hAnsi="宋体" w:eastAsia="宋体" w:cs="宋体"/>
          <w:b/>
          <w:highlight w:val="none"/>
        </w:rPr>
      </w:pPr>
      <w:r>
        <w:rPr>
          <w:rFonts w:hint="eastAsia" w:ascii="宋体" w:hAnsi="宋体" w:eastAsia="宋体" w:cs="宋体"/>
          <w:b/>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tabs>
          <w:tab w:val="left" w:pos="26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附件4</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投标分项报价表（报价分析）</w:t>
      </w:r>
      <w:r/>
    </w:p>
    <w:p>
      <w:pPr>
        <w:jc w:val="center"/>
        <w:spacing w:line="360" w:lineRule="auto"/>
        <w:tabs>
          <w:tab w:val="left" w:pos="26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投标分项报价表</w:t>
      </w:r>
      <w:r/>
    </w:p>
    <w:p>
      <w:pPr>
        <w:spacing w:line="360" w:lineRule="auto"/>
        <w:tabs>
          <w:tab w:val="left" w:pos="265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采购编号：</w:t>
      </w:r>
      <w:r/>
    </w:p>
    <w:tbl>
      <w:tblPr>
        <w:tblStyle w:val="9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081"/>
        <w:gridCol w:w="2013"/>
        <w:gridCol w:w="1610"/>
        <w:gridCol w:w="700"/>
        <w:gridCol w:w="700"/>
        <w:gridCol w:w="770"/>
        <w:gridCol w:w="898"/>
      </w:tblGrid>
      <w:tr>
        <w:trPr>
          <w:cantSplit/>
          <w:jc w:val="center"/>
          <w:trHeight w:val="50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7"/>
            <w:tcBorders>
              <w:top w:val="single" w:color="auto" w:sz="4" w:space="0"/>
              <w:left w:val="single" w:color="auto" w:sz="4" w:space="0"/>
              <w:bottom w:val="single" w:color="auto" w:sz="4" w:space="0"/>
              <w:right w:val="single" w:color="auto" w:sz="4" w:space="0"/>
            </w:tcBorders>
            <w:tcW w:w="4552"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合计</w:t>
            </w:r>
            <w:r>
              <w:rPr>
                <w:rFonts w:hint="eastAsia" w:ascii="宋体" w:hAnsi="宋体" w:eastAsia="宋体" w:cs="宋体"/>
                <w:color w:val="auto"/>
                <w:sz w:val="24"/>
                <w:szCs w:val="24"/>
                <w:highlight w:val="none"/>
              </w:rPr>
              <w:t xml:space="preserve">：              元（大写：                 ）</w:t>
            </w:r>
            <w:r/>
          </w:p>
        </w:tc>
      </w:tr>
    </w:tbl>
    <w:p>
      <w:pPr>
        <w:spacing w:line="360" w:lineRule="auto"/>
        <w:tabs>
          <w:tab w:val="left" w:pos="265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w:t>
      </w:r>
      <w:r>
        <w:rPr>
          <w:rFonts w:hint="eastAsia" w:ascii="宋体" w:hAnsi="宋体" w:eastAsia="宋体" w:cs="宋体"/>
          <w:b/>
          <w:sz w:val="24"/>
          <w:szCs w:val="24"/>
          <w:highlight w:val="none"/>
        </w:rPr>
        <w:t xml:space="preserve">本投标分项报价表为参考，具体详见附件详细报价表，投标时需将附件详细报价表上传至系统。</w:t>
      </w:r>
      <w:r/>
    </w:p>
    <w:p>
      <w:pPr>
        <w:jc w:val="left"/>
        <w:spacing w:line="400" w:lineRule="exact"/>
        <w:rPr>
          <w:rFonts w:eastAsia="宋体"/>
          <w:b/>
          <w:highlight w:val="none"/>
        </w:rPr>
      </w:pPr>
      <w:r>
        <w:rPr>
          <w:rFonts w:hint="eastAsia" w:ascii="宋体" w:hAnsi="宋体" w:eastAsia="宋体" w:cs="宋体"/>
          <w:bCs/>
          <w:sz w:val="24"/>
          <w:szCs w:val="24"/>
          <w:highlight w:val="none"/>
        </w:rPr>
        <w:t xml:space="preserve">各投标人应根据此表格式按项目分别填写报价详细清单。</w:t>
      </w:r>
      <w:r/>
    </w:p>
    <w:p>
      <w:pPr>
        <w:jc w:val="left"/>
        <w:spacing w:line="400" w:lineRule="exact"/>
        <w:rPr>
          <w:rFonts w:eastAsia="宋体"/>
          <w:b/>
          <w:highlight w:val="none"/>
        </w:rPr>
      </w:pPr>
      <w:r>
        <w:rPr>
          <w:rFonts w:eastAsia="宋体"/>
          <w:b/>
          <w:highlight w:val="none"/>
        </w:rPr>
      </w:r>
      <w:r/>
    </w:p>
    <w:p>
      <w:pPr>
        <w:jc w:val="left"/>
        <w:spacing w:line="400" w:lineRule="exact"/>
        <w:rPr>
          <w:rFonts w:eastAsia="宋体"/>
          <w:b/>
          <w:highlight w:val="none"/>
        </w:rPr>
      </w:pPr>
      <w:r>
        <w:rPr>
          <w:rFonts w:eastAsia="宋体"/>
          <w:b/>
          <w:highlight w:val="none"/>
        </w:rPr>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投标人：（盖章）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法定代表人或授权代理人：（签字或盖章）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日期：     年    月    日</w:t>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1"/>
        <w:rPr>
          <w:rFonts w:hint="eastAsia" w:ascii="宋体" w:hAnsi="宋体" w:eastAsia="宋体" w:cs="宋体"/>
          <w:b/>
          <w:szCs w:val="24"/>
          <w:highlight w:val="none"/>
        </w:rPr>
      </w:pPr>
      <w:r>
        <w:rPr>
          <w:rFonts w:hint="eastAsia" w:ascii="宋体" w:hAnsi="宋体" w:eastAsia="宋体" w:cs="宋体"/>
          <w:b/>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07"/>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附件5：投标设备技术对照表</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投标设备（货物）技术对照表</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采购编号：</w:t>
      </w:r>
      <w:r/>
    </w:p>
    <w:tbl>
      <w:tblPr>
        <w:tblStyle w:val="91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65"/>
        <w:gridCol w:w="763"/>
        <w:gridCol w:w="1100"/>
        <w:gridCol w:w="1083"/>
        <w:gridCol w:w="1123"/>
        <w:gridCol w:w="1533"/>
        <w:gridCol w:w="1276"/>
      </w:tblGrid>
      <w:tr>
        <w:trPr>
          <w:jc w:val="center"/>
          <w:trHeight w:val="675"/>
        </w:trPr>
        <w:tc>
          <w:tcPr>
            <w:tcW w:w="312" w:type="pct"/>
            <w:vAlign w:val="center"/>
            <w:vMerge w:val="restart"/>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629" w:type="pct"/>
            <w:vAlign w:val="center"/>
            <w:vMerge w:val="restart"/>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名称</w:t>
            </w:r>
            <w:r/>
          </w:p>
        </w:tc>
        <w:tc>
          <w:tcPr>
            <w:tcW w:w="451" w:type="pct"/>
            <w:vAlign w:val="center"/>
            <w:vMerge w:val="restart"/>
            <w:textDirection w:val="lrTb"/>
            <w:noWrap w:val="false"/>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品牌、</w:t>
            </w:r>
            <w:r/>
          </w:p>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型号</w:t>
            </w:r>
            <w:r/>
          </w:p>
        </w:tc>
        <w:tc>
          <w:tcPr>
            <w:gridSpan w:val="2"/>
            <w:tcW w:w="1288"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招标要求</w:t>
            </w:r>
            <w:r/>
          </w:p>
        </w:tc>
        <w:tc>
          <w:tcPr>
            <w:gridSpan w:val="2"/>
            <w:tcW w:w="156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投标参数</w:t>
            </w:r>
            <w:r/>
          </w:p>
        </w:tc>
        <w:tc>
          <w:tcPr>
            <w:tcW w:w="752" w:type="pct"/>
            <w:vAlign w:val="center"/>
            <w:vMerge w:val="restart"/>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选择项（符合、正偏离或负偏离）</w:t>
            </w:r>
            <w:r/>
          </w:p>
        </w:tc>
      </w:tr>
      <w:tr>
        <w:trPr>
          <w:jc w:val="center"/>
          <w:trHeight w:val="642"/>
        </w:trPr>
        <w:tc>
          <w:tcPr>
            <w:tcW w:w="312" w:type="pct"/>
            <w:vAlign w:val="center"/>
            <w:vMerge w:val="continue"/>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629" w:type="pct"/>
            <w:vAlign w:val="center"/>
            <w:vMerge w:val="continue"/>
            <w:textDirection w:val="lrTb"/>
            <w:noWrap w:val="false"/>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451" w:type="pct"/>
            <w:vAlign w:val="top"/>
            <w:vMerge w:val="continue"/>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649"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规格</w:t>
            </w:r>
            <w:r/>
          </w:p>
        </w:tc>
        <w:tc>
          <w:tcPr>
            <w:tcW w:w="639"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技术要求</w:t>
            </w:r>
            <w:r/>
          </w:p>
        </w:tc>
        <w:tc>
          <w:tcPr>
            <w:tcW w:w="662"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规格</w:t>
            </w:r>
            <w:r/>
          </w:p>
        </w:tc>
        <w:tc>
          <w:tcPr>
            <w:tcW w:w="902"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技术指标</w:t>
            </w:r>
            <w:r/>
          </w:p>
        </w:tc>
        <w:tc>
          <w:tcPr>
            <w:tcW w:w="752" w:type="pct"/>
            <w:vAlign w:val="center"/>
            <w:vMerge w:val="continue"/>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31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w:t>
            </w:r>
            <w:r/>
          </w:p>
        </w:tc>
        <w:tc>
          <w:tcPr>
            <w:tcW w:w="62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49"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9"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6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02" w:type="pct"/>
            <w:vAlign w:val="top"/>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2" w:type="pct"/>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注：1、各投标人可参照上述格式自制《投标设备（货物）技术对照表》投标</w:t>
      </w:r>
      <w:r/>
    </w:p>
    <w:p>
      <w:pPr>
        <w:ind w:firstLine="47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2、投标人须对照招标技术参数要求逐条列出并对比，其中“投标设备技术指标描述”一栏须详细说明投标产品的具体量化参数，如照抄招标文件要求或只写“完全响应“等字样的技术参数部分不得分。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投标人：（盖章）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法定代表人或授权代理人：（签字或盖章）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日期：      年    月    日</w:t>
      </w:r>
      <w:r/>
    </w:p>
    <w:p>
      <w:pPr>
        <w:pStyle w:val="1101"/>
        <w:ind w:firstLine="0"/>
        <w:jc w:val="both"/>
        <w:spacing w:line="360" w:lineRule="auto"/>
        <w:rPr>
          <w:rFonts w:hint="eastAsia" w:ascii="宋体" w:hAnsi="宋体" w:eastAsia="宋体" w:cs="宋体"/>
          <w:b/>
          <w:highlight w:val="none"/>
        </w:rPr>
      </w:pPr>
      <w:r>
        <w:rPr>
          <w:rFonts w:hint="eastAsia" w:ascii="宋体" w:hAnsi="宋体" w:eastAsia="宋体" w:cs="宋体"/>
          <w:b/>
          <w:szCs w:val="24"/>
          <w:highlight w:val="none"/>
        </w:rPr>
        <w:br w:type="page" w:clear="all"/>
      </w:r>
      <w:r>
        <w:rPr>
          <w:rFonts w:hint="eastAsia" w:ascii="宋体" w:hAnsi="宋体" w:eastAsia="宋体" w:cs="宋体"/>
          <w:b/>
          <w:szCs w:val="24"/>
          <w:highlight w:val="none"/>
        </w:rPr>
        <w:t xml:space="preserve">附件6：</w:t>
      </w:r>
      <w:r>
        <w:rPr>
          <w:rFonts w:hint="eastAsia" w:ascii="宋体" w:hAnsi="宋体" w:eastAsia="宋体" w:cs="宋体"/>
          <w:b/>
          <w:highlight w:val="none"/>
        </w:rPr>
        <w:t xml:space="preserve">售后服务承诺书</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highlight w:val="none"/>
        </w:rPr>
        <w:t xml:space="preserve">售后服务承诺书</w:t>
      </w:r>
      <w:r/>
    </w:p>
    <w:p>
      <w:pPr>
        <w:pStyle w:val="1101"/>
        <w:ind w:firstLine="0"/>
        <w:spacing w:line="36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采购编号：</w:t>
      </w:r>
      <w:r/>
    </w:p>
    <w:tbl>
      <w:tblPr>
        <w:tblStyle w:val="918"/>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306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售后服务内容</w:t>
            </w:r>
            <w:r/>
          </w:p>
        </w:tc>
        <w:tc>
          <w:tcPr>
            <w:tcW w:w="2052"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期限（时间）</w:t>
            </w:r>
            <w:r/>
          </w:p>
        </w:tc>
        <w:tc>
          <w:tcPr>
            <w:tcW w:w="216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30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免费质保期</w:t>
            </w:r>
            <w:r/>
          </w:p>
        </w:tc>
        <w:tc>
          <w:tcPr>
            <w:tcW w:w="2052"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1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30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服务响应</w:t>
            </w:r>
            <w:r/>
          </w:p>
        </w:tc>
        <w:tc>
          <w:tcPr>
            <w:tcW w:w="2052"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1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30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到达现场</w:t>
            </w:r>
            <w:r/>
          </w:p>
        </w:tc>
        <w:tc>
          <w:tcPr>
            <w:tcW w:w="2052"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1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30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解决问题</w:t>
            </w:r>
            <w:r/>
          </w:p>
        </w:tc>
        <w:tc>
          <w:tcPr>
            <w:tcW w:w="2052"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160"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3060" w:type="dxa"/>
            <w:vAlign w:val="center"/>
            <w:textDirection w:val="lrTb"/>
            <w:noWrap w:val="false"/>
          </w:tcPr>
          <w:p>
            <w:pPr>
              <w:jc w:val="center"/>
              <w:spacing w:before="25" w:after="25"/>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其他优惠措施</w:t>
            </w:r>
            <w:r/>
          </w:p>
        </w:tc>
        <w:tc>
          <w:tcPr>
            <w:tcW w:w="2052"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0"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W w:w="3060"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52"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0"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before="25" w:after="25"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注：1、针对服务内容有必须说明的事项，请在“备注”栏目内注明；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2、如有其它售后服务内容，可自行参照填写。</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投标人：（盖章）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法定代表人或授权代理人：（签字或盖章）</w:t>
      </w:r>
      <w:r/>
    </w:p>
    <w:p>
      <w:pPr>
        <w:pStyle w:val="1159"/>
        <w:ind w:firstLine="480"/>
        <w:spacing w:line="360" w:lineRule="auto"/>
        <w:rPr>
          <w:rFonts w:hint="eastAsia" w:hAnsi="宋体" w:eastAsia="宋体" w:cs="宋体"/>
          <w:sz w:val="24"/>
          <w:highlight w:val="none"/>
        </w:rPr>
      </w:pPr>
      <w:r>
        <w:rPr>
          <w:rFonts w:hint="eastAsia" w:hAnsi="宋体" w:eastAsia="宋体" w:cs="宋体"/>
          <w:sz w:val="24"/>
          <w:highlight w:val="none"/>
        </w:rPr>
        <w:t xml:space="preserve">日期：      年    月    日</w:t>
      </w:r>
      <w:r/>
    </w:p>
    <w:p>
      <w:pPr>
        <w:jc w:val="left"/>
        <w:spacing w:line="400" w:lineRule="exact"/>
        <w:rPr>
          <w:rFonts w:hint="eastAsia" w:ascii="宋体" w:hAnsi="宋体" w:eastAsia="宋体" w:cs="宋体"/>
          <w:b/>
          <w:szCs w:val="24"/>
          <w:highlight w:val="none"/>
        </w:rPr>
      </w:pPr>
      <w:r>
        <w:rPr>
          <w:rFonts w:hint="eastAsia" w:ascii="宋体" w:hAnsi="宋体" w:eastAsia="宋体" w:cs="宋体"/>
          <w:b/>
          <w:szCs w:val="24"/>
          <w:highlight w:val="none"/>
        </w:rPr>
      </w:r>
      <w:r/>
    </w:p>
    <w:p>
      <w:pPr>
        <w:jc w:val="left"/>
        <w:spacing w:line="400" w:lineRule="exact"/>
        <w:rPr>
          <w:rFonts w:hint="eastAsia" w:ascii="宋体" w:hAnsi="宋体" w:eastAsia="宋体" w:cs="宋体"/>
          <w:b/>
          <w:szCs w:val="24"/>
          <w:highlight w:val="none"/>
        </w:rPr>
      </w:pPr>
      <w:r>
        <w:rPr>
          <w:rFonts w:hint="eastAsia" w:ascii="宋体" w:hAnsi="宋体" w:eastAsia="宋体" w:cs="宋体"/>
          <w:b/>
          <w:szCs w:val="24"/>
          <w:highlight w:val="none"/>
        </w:rPr>
      </w:r>
      <w:r/>
    </w:p>
    <w:p>
      <w:pPr>
        <w:jc w:val="left"/>
        <w:spacing w:line="400" w:lineRule="exact"/>
        <w:rPr>
          <w:rFonts w:hint="eastAsia" w:ascii="宋体" w:hAnsi="宋体" w:eastAsia="宋体" w:cs="宋体"/>
          <w:b/>
          <w:szCs w:val="24"/>
          <w:highlight w:val="none"/>
        </w:rPr>
      </w:pPr>
      <w:r>
        <w:rPr>
          <w:rFonts w:hint="eastAsia" w:ascii="宋体" w:hAnsi="宋体" w:eastAsia="宋体" w:cs="宋体"/>
          <w:b/>
          <w:szCs w:val="24"/>
          <w:highlight w:val="none"/>
        </w:rPr>
      </w:r>
      <w:r/>
    </w:p>
    <w:p>
      <w:pPr>
        <w:jc w:val="left"/>
        <w:spacing w:line="400" w:lineRule="exact"/>
        <w:rPr>
          <w:rFonts w:hint="eastAsia" w:ascii="宋体" w:hAnsi="宋体" w:eastAsia="宋体" w:cs="宋体"/>
          <w:b/>
          <w:szCs w:val="24"/>
          <w:highlight w:val="none"/>
        </w:rPr>
      </w:pPr>
      <w:r>
        <w:rPr>
          <w:rFonts w:hint="eastAsia" w:ascii="宋体" w:hAnsi="宋体" w:eastAsia="宋体" w:cs="宋体"/>
          <w:b/>
          <w:szCs w:val="24"/>
          <w:highlight w:val="none"/>
        </w:rPr>
      </w:r>
      <w:r/>
    </w:p>
    <w:p>
      <w:pPr>
        <w:jc w:val="left"/>
        <w:spacing w:line="400" w:lineRule="exact"/>
        <w:rPr>
          <w:rFonts w:hint="eastAsia" w:ascii="宋体" w:hAnsi="宋体" w:eastAsia="宋体" w:cs="宋体"/>
          <w:b/>
          <w:szCs w:val="24"/>
          <w:highlight w:val="none"/>
        </w:rPr>
      </w:pPr>
      <w:r>
        <w:rPr>
          <w:rFonts w:hint="eastAsia" w:ascii="宋体" w:hAnsi="宋体" w:eastAsia="宋体" w:cs="宋体"/>
          <w:b/>
          <w:szCs w:val="24"/>
          <w:highlight w:val="none"/>
        </w:rPr>
      </w:r>
      <w:r/>
    </w:p>
    <w:p>
      <w:pPr>
        <w:jc w:val="left"/>
        <w:spacing w:line="400" w:lineRule="exact"/>
        <w:rPr>
          <w:rFonts w:hint="eastAsia" w:ascii="宋体" w:hAnsi="宋体" w:eastAsia="宋体" w:cs="宋体"/>
          <w:b/>
          <w:szCs w:val="24"/>
          <w:highlight w:val="none"/>
        </w:rPr>
      </w:pPr>
      <w:r>
        <w:rPr>
          <w:rFonts w:hint="eastAsia" w:ascii="宋体" w:hAnsi="宋体" w:eastAsia="宋体" w:cs="宋体"/>
          <w:b/>
          <w:szCs w:val="24"/>
          <w:highlight w:val="none"/>
        </w:rPr>
      </w:r>
      <w:r/>
    </w:p>
    <w:p>
      <w:pPr>
        <w:jc w:val="left"/>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br w:type="page" w:clear="all"/>
      </w:r>
      <w:r>
        <w:rPr>
          <w:rFonts w:hint="eastAsia" w:ascii="宋体" w:hAnsi="宋体" w:eastAsia="宋体" w:cs="宋体"/>
          <w:b/>
          <w:sz w:val="24"/>
          <w:szCs w:val="22"/>
          <w:highlight w:val="none"/>
        </w:rPr>
        <w:t xml:space="preserve">附件7：企业类似业绩一览表</w:t>
      </w:r>
      <w:r/>
    </w:p>
    <w:p>
      <w:pPr>
        <w:jc w:val="center"/>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企业类似业绩一览表</w:t>
      </w:r>
      <w:r/>
    </w:p>
    <w:tbl>
      <w:tblPr>
        <w:tblStyle w:val="918"/>
        <w:tblW w:w="8505"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49"/>
        <w:gridCol w:w="1763"/>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p>
        </w:tc>
        <w:tc>
          <w:tcPr>
            <w:tcW w:w="1549" w:type="dxa"/>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p>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top"/>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center"/>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r>
      <w:r/>
    </w:p>
    <w:p>
      <w:pPr>
        <w:jc w:val="center"/>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附：1.根据招标文件及评分标准填写，并附要求提供的相关证明文件；</w:t>
      </w:r>
      <w:r/>
    </w:p>
    <w:p>
      <w:pPr>
        <w:pStyle w:val="1115"/>
        <w:numPr>
          <w:ilvl w:val="0"/>
          <w:numId w:val="2"/>
        </w:numPr>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表格不够填写可添加。</w:t>
      </w:r>
      <w:r/>
    </w:p>
    <w:p>
      <w:pPr>
        <w:pStyle w:val="1115"/>
        <w:spacing w:line="360" w:lineRule="auto"/>
        <w:rPr>
          <w:rFonts w:hint="eastAsia" w:hAnsi="宋体" w:cs="宋体"/>
          <w:highlight w:val="none"/>
        </w:rPr>
      </w:pPr>
      <w:r>
        <w:rPr>
          <w:rFonts w:hint="eastAsia" w:hAnsi="宋体" w:cs="宋体"/>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投标人（单位盖章）： </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法定代表人或代理人（签字或盖章）：</w:t>
      </w:r>
      <w:r/>
    </w:p>
    <w:p>
      <w:pPr>
        <w:pStyle w:val="1101"/>
        <w:ind w:firstLine="0"/>
        <w:spacing w:line="500" w:lineRule="exact"/>
        <w:rPr>
          <w:rFonts w:hint="eastAsia" w:ascii="宋体" w:hAnsi="宋体" w:eastAsia="宋体" w:cs="宋体"/>
          <w:szCs w:val="24"/>
          <w:highlight w:val="none"/>
        </w:rPr>
      </w:pPr>
      <w:r>
        <w:rPr>
          <w:rFonts w:hint="eastAsia" w:ascii="宋体" w:hAnsi="宋体" w:eastAsia="宋体" w:cs="宋体"/>
          <w:szCs w:val="24"/>
          <w:highlight w:val="none"/>
        </w:rPr>
        <w:t xml:space="preserve">日期：      年     月    日</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26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附件8、参加政府采购活动前三年内，在经营活动中没有重大违法记录声明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 在参加政府采购活动前三年内，没有重大违法记录，特此声明。</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若招标采购单位在本项目采购过程中发现我单位近三年内在政府采购活动中有重大违法记录，我单位将无条件退出本项目的招标，并承担因此引起的一起后果。</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投标人（公章）</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法定代表人（负责人）或代理人（签字或盖章）：</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  </w:t>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附件9、</w:t>
      </w:r>
      <w:r>
        <w:rPr>
          <w:rFonts w:hint="eastAsia" w:ascii="宋体" w:hAnsi="宋体" w:eastAsia="宋体" w:cs="宋体"/>
          <w:b/>
          <w:bCs/>
          <w:sz w:val="24"/>
          <w:szCs w:val="24"/>
          <w:highlight w:val="none"/>
        </w:rPr>
        <w:t xml:space="preserve">商务条款偏离表</w:t>
      </w:r>
      <w:r/>
    </w:p>
    <w:p>
      <w:pPr>
        <w:ind w:left="480"/>
        <w:jc w:val="center"/>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商务条款偏离表</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采购编号：</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324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招标文件的商务条款</w:t>
            </w:r>
            <w:r/>
          </w:p>
        </w:tc>
        <w:tc>
          <w:tcPr>
            <w:tcW w:w="306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投标文件的商务条款</w:t>
            </w:r>
            <w:r/>
          </w:p>
        </w:tc>
        <w:tc>
          <w:tcPr>
            <w:tcW w:w="126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说明</w:t>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97"/>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0"/>
        </w:trPr>
        <w:tc>
          <w:tcPr>
            <w:tcW w:w="828"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注：投标人的投标文件（除技术规格部分）与招标文件规定的有偏离的，应在此表中说明。未在上表中说明的，将被认为完全响应招标文件的规定。</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1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投标人（公章）：</w:t>
      </w:r>
      <w:r/>
    </w:p>
    <w:p>
      <w:pPr>
        <w:ind w:firstLine="21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法定代表人或代理人：（签名或签章）</w:t>
      </w:r>
      <w:r/>
    </w:p>
    <w:p>
      <w:pPr>
        <w:pStyle w:val="1165"/>
        <w:ind w:firstLine="0"/>
        <w:rPr>
          <w:rFonts w:hint="eastAsia" w:ascii="宋体" w:hAnsi="宋体" w:cs="宋体"/>
          <w:b/>
          <w:highlight w:val="none"/>
        </w:rPr>
      </w:pPr>
      <w:r>
        <w:rPr>
          <w:rFonts w:hint="eastAsia" w:ascii="宋体" w:hAnsi="宋体" w:cs="宋体"/>
          <w:bCs/>
          <w:highlight w:val="none"/>
        </w:rPr>
        <w:t xml:space="preserve">日期：        年     月     日</w:t>
      </w:r>
      <w:r>
        <w:rPr>
          <w:rFonts w:hint="eastAsia" w:ascii="宋体" w:hAnsi="宋体" w:cs="宋体"/>
          <w:b/>
          <w:highlight w:val="none"/>
        </w:rPr>
        <w:br w:type="page" w:clear="all"/>
      </w:r>
      <w:r>
        <w:rPr>
          <w:rFonts w:hint="eastAsia" w:ascii="宋体" w:hAnsi="宋体" w:cs="宋体"/>
          <w:b/>
          <w:highlight w:val="none"/>
        </w:rPr>
        <w:t xml:space="preserve">附件10：资格证明文件</w:t>
      </w:r>
      <w:r/>
    </w:p>
    <w:p>
      <w:pPr>
        <w:pStyle w:val="1101"/>
        <w:ind w:firstLine="0"/>
        <w:jc w:val="both"/>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101"/>
        <w:ind w:firstLine="0"/>
        <w:jc w:val="both"/>
        <w:spacing w:line="360" w:lineRule="auto"/>
        <w:rPr>
          <w:rFonts w:hint="eastAsia" w:ascii="宋体" w:hAnsi="宋体" w:eastAsia="宋体" w:cs="宋体"/>
          <w:b/>
          <w:highlight w:val="none"/>
        </w:rPr>
      </w:pPr>
      <w:r>
        <w:rPr>
          <w:rFonts w:hint="eastAsia" w:ascii="宋体" w:hAnsi="宋体" w:eastAsia="宋体" w:cs="宋体"/>
          <w:b/>
          <w:highlight w:val="none"/>
        </w:rPr>
        <w:t xml:space="preserve">（1）关于资格文件的声明函</w:t>
      </w:r>
      <w:r/>
    </w:p>
    <w:p>
      <w:pPr>
        <w:pStyle w:val="1101"/>
        <w:ind w:firstLine="0"/>
        <w:jc w:val="cente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101"/>
        <w:ind w:firstLine="0"/>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关于资格文件的声明函</w:t>
      </w:r>
      <w:r/>
    </w:p>
    <w:p>
      <w:pPr>
        <w:pStyle w:val="1101"/>
        <w:ind w:firstLine="0"/>
        <w:jc w:val="cente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0"/>
        <w:jc w:val="both"/>
        <w:spacing w:line="360" w:lineRule="auto"/>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 xml:space="preserve">苏州博思源管理咨询有限公司</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本公司愿就由贵公司组织实施的编号为</w:t>
      </w: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 xml:space="preserve">JSZC-320506104-BSYY-G2025-000</w:t>
      </w:r>
      <w:r>
        <w:rPr>
          <w:rFonts w:hint="eastAsia" w:ascii="宋体" w:hAnsi="宋体" w:eastAsia="宋体" w:cs="宋体"/>
          <w:highlight w:val="none"/>
          <w:u w:val="single"/>
          <w:lang w:eastAsia="zh-CN"/>
        </w:rPr>
        <w:t xml:space="preserve">7</w:t>
      </w:r>
      <w:r>
        <w:rPr>
          <w:rFonts w:hint="eastAsia" w:ascii="宋体" w:hAnsi="宋体" w:eastAsia="宋体" w:cs="宋体"/>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（投标人）法定代表人（签字或盖章）：</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投标人：（盖章）：</w:t>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01"/>
        <w:ind w:firstLine="480"/>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日期：      年    月    日</w:t>
      </w:r>
      <w:r/>
    </w:p>
    <w:p>
      <w:pPr>
        <w:pStyle w:val="1101"/>
        <w:ind w:firstLine="0"/>
        <w:jc w:val="both"/>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highlight w:val="none"/>
        </w:rPr>
        <w:t xml:space="preserve">（2）投标人情况表</w:t>
      </w:r>
      <w:r/>
    </w:p>
    <w:p>
      <w:pPr>
        <w:pStyle w:val="1101"/>
        <w:ind w:firstLine="0"/>
        <w:jc w:val="center"/>
        <w:spacing w:line="360" w:lineRule="auto"/>
        <w:rPr>
          <w:rFonts w:hint="eastAsia" w:ascii="宋体" w:hAnsi="宋体" w:eastAsia="宋体" w:cs="宋体"/>
          <w:highlight w:val="none"/>
        </w:rPr>
      </w:pPr>
      <w:r>
        <w:rPr>
          <w:rFonts w:hint="eastAsia" w:ascii="宋体" w:hAnsi="宋体" w:eastAsia="宋体" w:cs="宋体"/>
          <w:b/>
          <w:bCs/>
          <w:highlight w:val="none"/>
        </w:rPr>
        <w:t xml:space="preserve">投标人情况表</w:t>
      </w:r>
      <w:r/>
    </w:p>
    <w:p>
      <w:pPr>
        <w:pStyle w:val="1101"/>
        <w:ind w:firstLine="0"/>
        <w:jc w:val="both"/>
        <w:rPr>
          <w:rFonts w:hint="eastAsia" w:ascii="宋体" w:hAnsi="宋体" w:eastAsia="宋体" w:cs="宋体"/>
          <w:highlight w:val="none"/>
        </w:rPr>
      </w:pPr>
      <w:r>
        <w:rPr>
          <w:rFonts w:hint="eastAsia" w:ascii="宋体" w:hAnsi="宋体" w:eastAsia="宋体" w:cs="宋体"/>
          <w:highlight w:val="none"/>
        </w:rPr>
        <w:t xml:space="preserve">单位名称（盖章）</w:t>
      </w:r>
      <w:r/>
    </w:p>
    <w:tbl>
      <w:tblPr>
        <w:tblStyle w:val="918"/>
        <w:tblW w:w="87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7"/>
        <w:gridCol w:w="1999"/>
        <w:gridCol w:w="1457"/>
        <w:gridCol w:w="2049"/>
        <w:gridCol w:w="926"/>
      </w:tblGrid>
      <w:tr>
        <w:trPr>
          <w:cantSplit/>
          <w:jc w:val="center"/>
          <w:trHeight w:val="354"/>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法定代表人</w:t>
            </w:r>
            <w:r/>
          </w:p>
        </w:tc>
        <w:tc>
          <w:tcPr>
            <w:tcW w:w="1999"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c>
          <w:tcPr>
            <w:tcW w:w="145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成立日期</w:t>
            </w:r>
            <w:r/>
          </w:p>
        </w:tc>
        <w:tc>
          <w:tcPr>
            <w:gridSpan w:val="2"/>
            <w:tcW w:w="2975"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354"/>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企业地址</w:t>
            </w:r>
            <w:r/>
          </w:p>
        </w:tc>
        <w:tc>
          <w:tcPr>
            <w:tcW w:w="1999"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c>
          <w:tcPr>
            <w:tcW w:w="145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注册资本</w:t>
            </w:r>
            <w:r/>
          </w:p>
        </w:tc>
        <w:tc>
          <w:tcPr>
            <w:gridSpan w:val="2"/>
            <w:tcW w:w="2975" w:type="dxa"/>
            <w:vAlign w:val="center"/>
            <w:textDirection w:val="lrTb"/>
            <w:noWrap w:val="false"/>
          </w:tcPr>
          <w:p>
            <w:pPr>
              <w:pStyle w:val="1101"/>
              <w:ind w:firstLine="2160"/>
              <w:rPr>
                <w:rFonts w:hint="eastAsia" w:ascii="宋体" w:hAnsi="宋体" w:eastAsia="宋体" w:cs="宋体"/>
                <w:szCs w:val="24"/>
                <w:highlight w:val="none"/>
              </w:rPr>
            </w:pPr>
            <w:r>
              <w:rPr>
                <w:rFonts w:hint="eastAsia" w:ascii="宋体" w:hAnsi="宋体" w:eastAsia="宋体" w:cs="宋体"/>
                <w:szCs w:val="24"/>
                <w:highlight w:val="none"/>
              </w:rPr>
              <w:t xml:space="preserve">万元</w:t>
            </w:r>
            <w:r/>
          </w:p>
        </w:tc>
      </w:tr>
      <w:tr>
        <w:trPr>
          <w:cantSplit/>
          <w:jc w:val="center"/>
          <w:trHeight w:val="354"/>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经营范围</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354"/>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职工人数</w:t>
            </w:r>
            <w:r/>
          </w:p>
        </w:tc>
        <w:tc>
          <w:tcPr>
            <w:tcW w:w="1999"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3506"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其中：有中高级以上职称的人数</w:t>
            </w:r>
            <w:r/>
          </w:p>
        </w:tc>
        <w:tc>
          <w:tcPr>
            <w:tcW w:w="926"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354"/>
        </w:trPr>
        <w:tc>
          <w:tcPr>
            <w:tcW w:w="2287"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资产总计</w:t>
            </w:r>
            <w:r/>
          </w:p>
        </w:tc>
        <w:tc>
          <w:tcPr>
            <w:tcW w:w="1999" w:type="dxa"/>
            <w:vAlign w:val="center"/>
            <w:textDirection w:val="lrTb"/>
            <w:noWrap w:val="false"/>
          </w:tcPr>
          <w:p>
            <w:pPr>
              <w:pStyle w:val="1101"/>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         万元</w:t>
            </w:r>
            <w:r/>
          </w:p>
        </w:tc>
        <w:tc>
          <w:tcPr>
            <w:tcW w:w="1457"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净资产</w:t>
            </w:r>
            <w:r/>
          </w:p>
        </w:tc>
        <w:tc>
          <w:tcPr>
            <w:gridSpan w:val="2"/>
            <w:tcW w:w="2975"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2023年         万元</w:t>
            </w:r>
            <w:r/>
          </w:p>
        </w:tc>
      </w:tr>
      <w:tr>
        <w:trPr>
          <w:cantSplit/>
          <w:jc w:val="center"/>
          <w:trHeight w:val="354"/>
        </w:trPr>
        <w:tc>
          <w:tcPr>
            <w:tcW w:w="2287"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股东权益</w:t>
            </w:r>
            <w:r/>
          </w:p>
        </w:tc>
        <w:tc>
          <w:tcPr>
            <w:tcW w:w="1999" w:type="dxa"/>
            <w:vAlign w:val="center"/>
            <w:textDirection w:val="lrTb"/>
            <w:noWrap w:val="false"/>
          </w:tcPr>
          <w:p>
            <w:pPr>
              <w:pStyle w:val="1101"/>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         万元</w:t>
            </w:r>
            <w:r/>
          </w:p>
        </w:tc>
        <w:tc>
          <w:tcPr>
            <w:tcW w:w="1457"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销售收入</w:t>
            </w:r>
            <w:r/>
          </w:p>
        </w:tc>
        <w:tc>
          <w:tcPr>
            <w:gridSpan w:val="2"/>
            <w:tcW w:w="2975"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2024年         万元</w:t>
            </w:r>
            <w:r/>
          </w:p>
        </w:tc>
      </w:tr>
      <w:tr>
        <w:trPr>
          <w:cantSplit/>
          <w:jc w:val="center"/>
          <w:trHeight w:val="354"/>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实现利润</w:t>
            </w:r>
            <w:r/>
          </w:p>
        </w:tc>
        <w:tc>
          <w:tcPr>
            <w:tcW w:w="1999"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2024年    万元</w:t>
            </w:r>
            <w:r/>
          </w:p>
        </w:tc>
        <w:tc>
          <w:tcPr>
            <w:tcW w:w="145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2975"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692"/>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营业面积（含厂房面积）</w:t>
            </w:r>
            <w:r/>
          </w:p>
        </w:tc>
        <w:tc>
          <w:tcPr>
            <w:tcW w:w="1999" w:type="dxa"/>
            <w:vAlign w:val="center"/>
            <w:textDirection w:val="lrTb"/>
            <w:noWrap w:val="false"/>
          </w:tcPr>
          <w:p>
            <w:pPr>
              <w:pStyle w:val="1101"/>
              <w:ind w:firstLine="0"/>
              <w:jc w:val="both"/>
              <w:rPr>
                <w:rFonts w:hint="eastAsia" w:ascii="宋体" w:hAnsi="宋体" w:eastAsia="宋体" w:cs="宋体"/>
                <w:szCs w:val="24"/>
                <w:highlight w:val="none"/>
              </w:rPr>
            </w:pPr>
            <w:r>
              <w:rPr>
                <w:rFonts w:hint="eastAsia" w:ascii="宋体" w:hAnsi="宋体" w:eastAsia="宋体" w:cs="宋体"/>
                <w:szCs w:val="24"/>
                <w:highlight w:val="none"/>
              </w:rPr>
              <w:t xml:space="preserve">        平方米</w:t>
            </w:r>
            <w:r/>
          </w:p>
        </w:tc>
        <w:tc>
          <w:tcPr>
            <w:tcW w:w="145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其中：</w:t>
            </w:r>
            <w:r/>
          </w:p>
        </w:tc>
        <w:tc>
          <w:tcPr>
            <w:gridSpan w:val="2"/>
            <w:tcW w:w="2975"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自有面积         平方米</w:t>
            </w:r>
            <w:r/>
          </w:p>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承租面积         平方米</w:t>
            </w:r>
            <w:r/>
          </w:p>
        </w:tc>
      </w:tr>
      <w:tr>
        <w:trPr>
          <w:cantSplit/>
          <w:jc w:val="center"/>
          <w:trHeight w:val="692"/>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单位简历及内设机构情况</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789"/>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单位优势及特长</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692"/>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近三年来完成或正在履行的重大合同情况</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1370"/>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最近2年内在经营过程中受到何种奖励或处分（包括情况和结果）</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1708"/>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最近3年内有无因售假、售劣或是其他原因被消费者投诉或起诉的情况及说明（包括解决方式和结果）</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1370"/>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最近3年内主要负责人有无因经济犯罪被司法机关追究的情况及说明</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692"/>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获得技术认证的工程师及简介</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r>
        <w:trPr>
          <w:cantSplit/>
          <w:jc w:val="center"/>
          <w:trHeight w:val="700"/>
        </w:trPr>
        <w:tc>
          <w:tcPr>
            <w:tcW w:w="2287"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t xml:space="preserve">其他需要说明的情况</w:t>
            </w:r>
            <w:r/>
          </w:p>
        </w:tc>
        <w:tc>
          <w:tcPr>
            <w:gridSpan w:val="4"/>
            <w:tcW w:w="6431" w:type="dxa"/>
            <w:vAlign w:val="center"/>
            <w:textDirection w:val="lrTb"/>
            <w:noWrap w:val="false"/>
          </w:tcPr>
          <w:p>
            <w:pPr>
              <w:pStyle w:val="1101"/>
              <w:ind w:firstLine="0"/>
              <w:rPr>
                <w:rFonts w:hint="eastAsia" w:ascii="宋体" w:hAnsi="宋体" w:eastAsia="宋体" w:cs="宋体"/>
                <w:szCs w:val="24"/>
                <w:highlight w:val="none"/>
              </w:rPr>
            </w:pPr>
            <w:r>
              <w:rPr>
                <w:rFonts w:hint="eastAsia" w:ascii="宋体" w:hAnsi="宋体" w:eastAsia="宋体" w:cs="宋体"/>
                <w:szCs w:val="24"/>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b/>
          <w:sz w:val="24"/>
          <w:highlight w:val="none"/>
        </w:rPr>
        <w:t xml:space="preserve">（3）中小企业声明函</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中小企业声明函</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苏州博思源管理咨询有限公司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郑重声明，根据《政府采购促进中小企业发展管理办法》（财库﹝2020﹞46 号）的规定，本公司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（项目名称）采购活动，提供的货物</w:t>
      </w:r>
      <w:r>
        <w:rPr>
          <w:rFonts w:hint="eastAsia" w:ascii="宋体" w:hAnsi="宋体" w:eastAsia="宋体" w:cs="宋体"/>
          <w:b/>
          <w:bCs/>
          <w:sz w:val="24"/>
          <w:szCs w:val="24"/>
          <w:highlight w:val="none"/>
        </w:rPr>
        <w:t xml:space="preserve">全部</w:t>
      </w:r>
      <w:r>
        <w:rPr>
          <w:rFonts w:hint="eastAsia" w:ascii="宋体" w:hAnsi="宋体" w:eastAsia="宋体" w:cs="宋体"/>
          <w:sz w:val="24"/>
          <w:szCs w:val="24"/>
          <w:highlight w:val="none"/>
        </w:rPr>
        <w:t xml:space="preserve">由符合政策要求的下列中小企业制造。相关企业（含联合体中的中小企业、签订分包意向协议的中小企业）的具体情况如下：</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1、（标的名称）               </w:t>
      </w:r>
      <w:r>
        <w:rPr>
          <w:rFonts w:hint="eastAsia" w:ascii="宋体" w:hAnsi="宋体" w:eastAsia="宋体" w:cs="宋体"/>
          <w:sz w:val="24"/>
          <w:szCs w:val="24"/>
          <w:highlight w:val="none"/>
        </w:rPr>
        <w:t xml:space="preserve">，</w:t>
      </w:r>
      <w:r>
        <w:rPr>
          <w:rStyle w:val="1226"/>
          <w:color w:val="000000"/>
          <w:sz w:val="24"/>
          <w:szCs w:val="24"/>
          <w:highlight w:val="none"/>
          <w:lang w:bidi="ar"/>
        </w:rPr>
        <w:t xml:space="preserve">(可将所投核心产品或主要产品，由投标单位自行列出)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  工业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3"/>
        </w:num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 </w:t>
      </w:r>
      <w:r>
        <w:rPr>
          <w:rStyle w:val="1226"/>
          <w:color w:val="000000"/>
          <w:sz w:val="24"/>
          <w:szCs w:val="24"/>
          <w:highlight w:val="none"/>
          <w:u w:val="single"/>
          <w:lang w:bidi="ar"/>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  工业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p>
    <w:p>
      <w:pPr>
        <w:ind w:firstLine="24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p>
    <w:p>
      <w:pPr>
        <w:pStyle w:val="1109"/>
        <w:rPr>
          <w:rFonts w:hint="eastAsia" w:ascii="宋体" w:hAnsi="宋体" w:eastAsia="宋体" w:cs="宋体"/>
          <w:szCs w:val="24"/>
          <w:highlight w:val="none"/>
        </w:rPr>
      </w:pPr>
      <w:r>
        <w:rPr>
          <w:rFonts w:hint="eastAsia" w:ascii="宋体" w:hAnsi="宋体" w:eastAsia="宋体" w:cs="宋体"/>
          <w:szCs w:val="24"/>
          <w:highlight w:val="none"/>
        </w:rPr>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注：1、从业人员、营业收入、资产总额填报上一年度数据，无上一年度数据的新成立企业可不填报。行业划分标准依据工信部联企业[2011]300号文的规定填写。</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2、《中小企业声明函》将随中标结果同时公告。</w:t>
      </w:r>
      <w:r/>
    </w:p>
    <w:p>
      <w:pPr>
        <w:spacing w:line="280" w:lineRule="exact"/>
        <w:rPr>
          <w:rFonts w:hint="eastAsia" w:ascii="宋体" w:hAnsi="宋体" w:eastAsia="宋体" w:cs="宋体"/>
          <w:b/>
          <w:sz w:val="20"/>
          <w:highlight w:val="none"/>
        </w:rPr>
      </w:pPr>
      <w:r>
        <w:rPr>
          <w:rFonts w:hint="eastAsia" w:ascii="宋体" w:hAnsi="宋体" w:eastAsia="宋体" w:cs="宋体"/>
          <w:b/>
          <w:sz w:val="20"/>
          <w:highlight w:val="none"/>
        </w:rPr>
      </w:r>
      <w:r/>
    </w:p>
    <w:p>
      <w:pPr>
        <w:spacing w:line="280" w:lineRule="exact"/>
        <w:rPr>
          <w:rFonts w:hint="eastAsia" w:ascii="宋体" w:hAnsi="宋体" w:eastAsia="宋体" w:cs="宋体"/>
          <w:b/>
          <w:sz w:val="20"/>
          <w:highlight w:val="none"/>
        </w:rPr>
      </w:pPr>
      <w:r>
        <w:rPr>
          <w:rFonts w:hint="eastAsia" w:ascii="宋体" w:hAnsi="宋体" w:eastAsia="宋体" w:cs="宋体"/>
          <w:b/>
          <w:sz w:val="20"/>
          <w:highlight w:val="none"/>
        </w:rPr>
        <w:t xml:space="preserve">附：中小企业划型标准规定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（一）农、林、牧、渔业。</w:t>
      </w:r>
      <w:r>
        <w:rPr>
          <w:rFonts w:hint="eastAsia" w:ascii="宋体" w:hAnsi="宋体" w:eastAsia="宋体" w:cs="宋体"/>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（二）工业。</w:t>
      </w:r>
      <w:r>
        <w:rPr>
          <w:rFonts w:hint="eastAsia" w:ascii="宋体" w:hAnsi="宋体" w:eastAsia="宋体" w:cs="宋体"/>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（三）建筑业。</w:t>
      </w:r>
      <w:r>
        <w:rPr>
          <w:rFonts w:hint="eastAsia" w:ascii="宋体" w:hAnsi="宋体" w:eastAsia="宋体" w:cs="宋体"/>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（四）批发业。</w:t>
      </w:r>
      <w:r>
        <w:rPr>
          <w:rFonts w:hint="eastAsia" w:ascii="宋体" w:hAnsi="宋体" w:eastAsia="宋体" w:cs="宋体"/>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（五）零售业。</w:t>
      </w:r>
      <w:r>
        <w:rPr>
          <w:rFonts w:hint="eastAsia" w:ascii="宋体" w:hAnsi="宋体" w:eastAsia="宋体" w:cs="宋体"/>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（六）交通运输业。</w:t>
      </w:r>
      <w:r>
        <w:rPr>
          <w:rFonts w:hint="eastAsia" w:ascii="宋体" w:hAnsi="宋体" w:eastAsia="宋体" w:cs="宋体"/>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（七）仓储业。</w:t>
      </w:r>
      <w:r>
        <w:rPr>
          <w:rFonts w:hint="eastAsia" w:ascii="宋体" w:hAnsi="宋体" w:eastAsia="宋体" w:cs="宋体"/>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（八）邮政业。</w:t>
      </w:r>
      <w:r>
        <w:rPr>
          <w:rFonts w:hint="eastAsia" w:ascii="宋体" w:hAnsi="宋体" w:eastAsia="宋体" w:cs="宋体"/>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（九）住宿业。</w:t>
      </w:r>
      <w:r>
        <w:rPr>
          <w:rFonts w:hint="eastAsia" w:ascii="宋体" w:hAnsi="宋体" w:eastAsia="宋体" w:cs="宋体"/>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（十）餐饮业。</w:t>
      </w:r>
      <w:r>
        <w:rPr>
          <w:rFonts w:hint="eastAsia" w:ascii="宋体" w:hAnsi="宋体" w:eastAsia="宋体" w:cs="宋体"/>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（十一）信息传输业。</w:t>
      </w:r>
      <w:r>
        <w:rPr>
          <w:rFonts w:hint="eastAsia" w:ascii="宋体" w:hAnsi="宋体" w:eastAsia="宋体" w:cs="宋体"/>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（十二）软件和信息技术服务业。</w:t>
      </w:r>
      <w:r>
        <w:rPr>
          <w:rFonts w:hint="eastAsia" w:ascii="宋体" w:hAnsi="宋体" w:eastAsia="宋体" w:cs="宋体"/>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（十三）房地产开发经营。</w:t>
      </w:r>
      <w:r>
        <w:rPr>
          <w:rFonts w:hint="eastAsia" w:ascii="宋体" w:hAnsi="宋体" w:eastAsia="宋体" w:cs="宋体"/>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（十四）物业管理。</w:t>
      </w:r>
      <w:r>
        <w:rPr>
          <w:rFonts w:hint="eastAsia" w:ascii="宋体" w:hAnsi="宋体" w:eastAsia="宋体" w:cs="宋体"/>
          <w:sz w:val="20"/>
          <w:highlight w:val="none"/>
        </w:rPr>
        <w:t xml:space="preserve">从业人员1000人以下或营业收入5000万元以下的为中小微型企业。其中，从业人员</w:t>
      </w:r>
      <w:r/>
    </w:p>
    <w:p>
      <w:pPr>
        <w:spacing w:line="280" w:lineRule="exact"/>
        <w:rPr>
          <w:rFonts w:hint="eastAsia" w:ascii="宋体" w:hAnsi="宋体" w:eastAsia="宋体" w:cs="宋体"/>
          <w:sz w:val="20"/>
          <w:highlight w:val="none"/>
        </w:rPr>
      </w:pPr>
      <w:r>
        <w:rPr>
          <w:rFonts w:hint="eastAsia" w:ascii="宋体" w:hAnsi="宋体" w:eastAsia="宋体" w:cs="宋体"/>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（十五）租赁和商务服务业。</w:t>
      </w:r>
      <w:r>
        <w:rPr>
          <w:rFonts w:hint="eastAsia" w:ascii="宋体" w:hAnsi="宋体" w:eastAsia="宋体" w:cs="宋体"/>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hint="eastAsia" w:ascii="宋体" w:hAnsi="宋体" w:eastAsia="宋体" w:cs="宋体"/>
          <w:sz w:val="20"/>
          <w:highlight w:val="none"/>
        </w:rPr>
      </w:pPr>
      <w:r>
        <w:rPr>
          <w:rFonts w:hint="eastAsia" w:ascii="宋体" w:hAnsi="宋体" w:eastAsia="宋体" w:cs="宋体"/>
          <w:b/>
          <w:sz w:val="20"/>
          <w:highlight w:val="none"/>
        </w:rPr>
        <w:t xml:space="preserve">（十六）其他未列明行业。</w:t>
      </w:r>
      <w:r>
        <w:rPr>
          <w:rFonts w:hint="eastAsia" w:ascii="宋体" w:hAnsi="宋体" w:eastAsia="宋体" w:cs="宋体"/>
          <w:sz w:val="20"/>
          <w:highlight w:val="none"/>
        </w:rPr>
        <w:t xml:space="preserve">从业人员300人以下的为中小微型企业。其中，从业人员100人及以上的为中型企业；从业人员10人及以上的为小型企业；从业人员10人以下的为微型企业。</w:t>
      </w:r>
      <w:r/>
    </w:p>
    <w:p>
      <w:pPr>
        <w:pStyle w:val="1157"/>
        <w:ind w:firstLine="400"/>
        <w:rPr>
          <w:rFonts w:hint="eastAsia" w:hAnsi="宋体" w:cs="宋体"/>
          <w:sz w:val="20"/>
          <w:szCs w:val="20"/>
          <w:highlight w:val="none"/>
        </w:rPr>
      </w:pPr>
      <w:r>
        <w:rPr>
          <w:rFonts w:hint="eastAsia" w:hAnsi="宋体" w:cs="宋体"/>
          <w:sz w:val="20"/>
          <w:szCs w:val="20"/>
          <w:highlight w:val="none"/>
        </w:rPr>
      </w:r>
      <w:r/>
    </w:p>
    <w:p>
      <w:pPr>
        <w:spacing w:line="360" w:lineRule="auto"/>
        <w:rPr>
          <w:rFonts w:hint="eastAsia" w:ascii="宋体" w:hAnsi="宋体" w:eastAsia="宋体" w:cs="宋体"/>
          <w:bCs/>
          <w:sz w:val="20"/>
          <w:highlight w:val="none"/>
        </w:rPr>
      </w:pPr>
      <w:r>
        <w:rPr>
          <w:rFonts w:hint="eastAsia" w:ascii="宋体" w:hAnsi="宋体" w:eastAsia="宋体" w:cs="宋体"/>
          <w:bCs/>
          <w:sz w:val="20"/>
          <w:highlight w:val="none"/>
        </w:rPr>
      </w:r>
      <w:r/>
    </w:p>
    <w:p>
      <w:pPr>
        <w:spacing w:line="400" w:lineRule="exact"/>
        <w:rPr>
          <w:rFonts w:hint="eastAsia" w:ascii="宋体" w:hAnsi="宋体" w:eastAsia="宋体" w:cs="宋体"/>
          <w:b/>
          <w:sz w:val="24"/>
          <w:szCs w:val="22"/>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2"/>
          <w:highlight w:val="none"/>
        </w:rPr>
        <w:t xml:space="preserve">（4）残疾人福利性单位声明函</w:t>
      </w:r>
      <w:r/>
    </w:p>
    <w:p>
      <w:pPr>
        <w:pStyle w:val="1157"/>
        <w:ind w:firstLine="480"/>
        <w:rPr>
          <w:rFonts w:hint="eastAsia" w:hAnsi="宋体" w:cs="宋体"/>
          <w:highlight w:val="none"/>
        </w:rPr>
      </w:pPr>
      <w:r>
        <w:rPr>
          <w:rFonts w:hint="eastAsia" w:hAnsi="宋体" w:cs="宋体"/>
          <w:highlight w:val="none"/>
        </w:rPr>
      </w:r>
      <w:r/>
    </w:p>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残疾人福利性单位声明函</w:t>
      </w:r>
      <w:r/>
    </w:p>
    <w:p>
      <w:pPr>
        <w:pStyle w:val="1167"/>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______________________：</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单位的</w:t>
      </w:r>
      <w:r>
        <w:rPr>
          <w:rFonts w:hint="eastAsia" w:ascii="宋体" w:hAnsi="宋体" w:eastAsia="宋体" w:cs="宋体"/>
          <w:sz w:val="24"/>
          <w:szCs w:val="24"/>
          <w:highlight w:val="none"/>
          <w:u w:val="single"/>
          <w:lang w:val="zh-CN"/>
        </w:rPr>
        <w:t xml:space="preserve">（项目名称）</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及招标编号</w:t>
      </w:r>
      <w:r>
        <w:rPr>
          <w:rFonts w:hint="eastAsia" w:ascii="宋体" w:hAnsi="宋体" w:eastAsia="宋体" w:cs="宋体"/>
          <w:sz w:val="24"/>
          <w:szCs w:val="24"/>
          <w:highlight w:val="none"/>
          <w:u w:val="single"/>
          <w:lang w:val="zh-CN"/>
        </w:rPr>
        <w:t xml:space="preserve">                   号</w:t>
      </w:r>
      <w:r>
        <w:rPr>
          <w:rFonts w:hint="eastAsia" w:ascii="宋体" w:hAnsi="宋体" w:eastAsia="宋体" w:cs="宋体"/>
          <w:sz w:val="24"/>
          <w:szCs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本单位对上述声明的真实性负责。如有虚假，将依法承担相应责任。</w:t>
      </w:r>
      <w:r/>
    </w:p>
    <w:p>
      <w:pPr>
        <w:pStyle w:val="1167"/>
        <w:ind w:firstLine="2640"/>
        <w:spacing w:line="276" w:lineRule="auto"/>
        <w:rPr>
          <w:rFonts w:hint="eastAsia" w:hAnsi="宋体" w:cs="宋体"/>
          <w:sz w:val="24"/>
          <w:szCs w:val="24"/>
          <w:highlight w:val="none"/>
        </w:rPr>
      </w:pPr>
      <w:r>
        <w:rPr>
          <w:rFonts w:hint="eastAsia" w:hAnsi="宋体" w:cs="宋体"/>
          <w:sz w:val="24"/>
          <w:szCs w:val="24"/>
          <w:highlight w:val="none"/>
        </w:rPr>
        <w:t xml:space="preserve">供应商（公章）：</w:t>
      </w:r>
      <w:r>
        <w:rPr>
          <w:rFonts w:hint="eastAsia" w:hAnsi="宋体" w:cs="宋体"/>
          <w:sz w:val="24"/>
          <w:szCs w:val="24"/>
          <w:highlight w:val="none"/>
          <w:u w:val="single"/>
        </w:rPr>
        <w:t xml:space="preserve">                        </w:t>
      </w:r>
      <w:r/>
    </w:p>
    <w:p>
      <w:pPr>
        <w:pStyle w:val="1167"/>
        <w:ind w:firstLine="5040"/>
        <w:spacing w:line="276" w:lineRule="auto"/>
        <w:rPr>
          <w:rFonts w:hint="eastAsia" w:hAnsi="宋体" w:cs="宋体"/>
          <w:sz w:val="24"/>
          <w:szCs w:val="24"/>
          <w:highlight w:val="none"/>
        </w:rPr>
      </w:pPr>
      <w:r>
        <w:rPr>
          <w:rFonts w:hint="eastAsia" w:hAnsi="宋体" w:cs="宋体"/>
          <w:sz w:val="24"/>
          <w:szCs w:val="24"/>
          <w:highlight w:val="none"/>
        </w:rPr>
      </w:r>
      <w:r/>
    </w:p>
    <w:p>
      <w:pPr>
        <w:pStyle w:val="1167"/>
        <w:ind w:firstLine="2640"/>
        <w:spacing w:line="276" w:lineRule="auto"/>
        <w:rPr>
          <w:rFonts w:hint="eastAsia" w:hAnsi="宋体" w:cs="宋体"/>
          <w:sz w:val="24"/>
          <w:szCs w:val="24"/>
          <w:highlight w:val="none"/>
        </w:rPr>
      </w:pPr>
      <w:r>
        <w:rPr>
          <w:rFonts w:hint="eastAsia" w:hAnsi="宋体" w:cs="宋体"/>
          <w:sz w:val="24"/>
          <w:szCs w:val="24"/>
          <w:highlight w:val="none"/>
        </w:rPr>
        <w:t xml:space="preserve">法定代表人或代理人（签字或盖章）：</w:t>
      </w:r>
      <w:r>
        <w:rPr>
          <w:rFonts w:hint="eastAsia" w:hAnsi="宋体" w:cs="宋体"/>
          <w:sz w:val="24"/>
          <w:szCs w:val="24"/>
          <w:highlight w:val="none"/>
          <w:u w:val="single"/>
        </w:rPr>
        <w:t xml:space="preserve">          </w:t>
      </w:r>
      <w:r/>
    </w:p>
    <w:p>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64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r>
      <w:r/>
    </w:p>
    <w:p>
      <w:pPr>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r>
      <w:r/>
    </w:p>
    <w:p>
      <w:pPr>
        <w:spacing w:line="4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（5）监狱企业声明函</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监狱企业声明函</w:t>
      </w:r>
      <w:r/>
    </w:p>
    <w:p>
      <w:pPr>
        <w:pStyle w:val="1167"/>
        <w:spacing w:line="276" w:lineRule="auto"/>
        <w:rPr>
          <w:rFonts w:hint="eastAsia" w:hAnsi="宋体" w:cs="宋体"/>
          <w:sz w:val="24"/>
          <w:szCs w:val="24"/>
          <w:highlight w:val="none"/>
          <w:lang w:val="zh-CN"/>
        </w:rPr>
      </w:pPr>
      <w:r>
        <w:rPr>
          <w:rFonts w:hint="eastAsia" w:hAnsi="宋体" w:cs="宋体"/>
          <w:sz w:val="24"/>
          <w:szCs w:val="24"/>
          <w:highlight w:val="none"/>
          <w:lang w:val="zh-CN"/>
        </w:rPr>
        <w:t xml:space="preserve">______________________：</w:t>
      </w:r>
      <w:r/>
    </w:p>
    <w:p>
      <w:pPr>
        <w:ind w:firstLine="480"/>
        <w:spacing w:line="276"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单位的（项目名称 </w:t>
      </w:r>
      <w:r>
        <w:rPr>
          <w:rFonts w:hint="eastAsia" w:ascii="宋体" w:hAnsi="宋体" w:eastAsia="宋体" w:cs="宋体"/>
          <w:sz w:val="24"/>
          <w:szCs w:val="24"/>
          <w:highlight w:val="none"/>
          <w:u w:val="single"/>
          <w:lang w:val="zh-CN"/>
        </w:rPr>
        <w:t xml:space="preserve">                        及</w:t>
      </w:r>
      <w:r>
        <w:rPr>
          <w:rFonts w:hint="eastAsia" w:ascii="宋体" w:hAnsi="宋体" w:eastAsia="宋体" w:cs="宋体"/>
          <w:sz w:val="24"/>
          <w:szCs w:val="24"/>
          <w:highlight w:val="none"/>
          <w:lang w:val="zh-CN"/>
        </w:rPr>
        <w:t xml:space="preserve">招标编号</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号项目采购活动提供本单位制造的货物（由本单位承担工程/提供服务），或者提供其他监狱企业制造的货物（不包括使用非监狱企业注册商标的货物）。</w:t>
      </w:r>
      <w:r/>
    </w:p>
    <w:p>
      <w:pPr>
        <w:ind w:firstLine="480"/>
        <w:spacing w:line="276"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本单位对上述声明的真实性负责。如有虚假，将依法承担相应责任。</w:t>
      </w:r>
      <w:r/>
    </w:p>
    <w:p>
      <w:pPr>
        <w:pStyle w:val="1167"/>
        <w:spacing w:line="276" w:lineRule="auto"/>
        <w:rPr>
          <w:rFonts w:hint="eastAsia" w:hAnsi="宋体" w:cs="宋体"/>
          <w:sz w:val="24"/>
          <w:szCs w:val="24"/>
          <w:highlight w:val="none"/>
        </w:rPr>
      </w:pPr>
      <w:r>
        <w:rPr>
          <w:rFonts w:hint="eastAsia" w:hAnsi="宋体" w:cs="宋体"/>
          <w:sz w:val="24"/>
          <w:szCs w:val="24"/>
          <w:highlight w:val="none"/>
        </w:rPr>
      </w:r>
      <w:r/>
    </w:p>
    <w:p>
      <w:pPr>
        <w:pStyle w:val="1167"/>
        <w:ind w:firstLine="2640"/>
        <w:spacing w:line="276" w:lineRule="auto"/>
        <w:rPr>
          <w:rFonts w:hint="eastAsia" w:hAnsi="宋体" w:cs="宋体"/>
          <w:sz w:val="24"/>
          <w:szCs w:val="24"/>
          <w:highlight w:val="none"/>
        </w:rPr>
      </w:pPr>
      <w:r>
        <w:rPr>
          <w:rFonts w:hint="eastAsia" w:hAnsi="宋体" w:cs="宋体"/>
          <w:sz w:val="24"/>
          <w:szCs w:val="24"/>
          <w:highlight w:val="none"/>
        </w:rPr>
        <w:t xml:space="preserve">供应商（公章）：</w:t>
      </w:r>
      <w:r>
        <w:rPr>
          <w:rFonts w:hint="eastAsia" w:hAnsi="宋体" w:cs="宋体"/>
          <w:sz w:val="24"/>
          <w:szCs w:val="24"/>
          <w:highlight w:val="none"/>
          <w:u w:val="single"/>
        </w:rPr>
        <w:t xml:space="preserve">                        </w:t>
      </w:r>
      <w:r/>
    </w:p>
    <w:p>
      <w:pPr>
        <w:pStyle w:val="1167"/>
        <w:ind w:firstLine="5040"/>
        <w:spacing w:line="276" w:lineRule="auto"/>
        <w:rPr>
          <w:rFonts w:hint="eastAsia" w:hAnsi="宋体" w:cs="宋体"/>
          <w:sz w:val="24"/>
          <w:szCs w:val="24"/>
          <w:highlight w:val="none"/>
        </w:rPr>
      </w:pPr>
      <w:r>
        <w:rPr>
          <w:rFonts w:hint="eastAsia" w:hAnsi="宋体" w:cs="宋体"/>
          <w:sz w:val="24"/>
          <w:szCs w:val="24"/>
          <w:highlight w:val="none"/>
        </w:rPr>
      </w:r>
      <w:r/>
    </w:p>
    <w:p>
      <w:pPr>
        <w:pStyle w:val="1167"/>
        <w:ind w:firstLine="2640"/>
        <w:spacing w:line="276" w:lineRule="auto"/>
        <w:rPr>
          <w:rFonts w:hint="eastAsia" w:hAnsi="宋体" w:cs="宋体"/>
          <w:sz w:val="24"/>
          <w:szCs w:val="24"/>
          <w:highlight w:val="none"/>
        </w:rPr>
      </w:pPr>
      <w:r>
        <w:rPr>
          <w:rFonts w:hint="eastAsia" w:hAnsi="宋体" w:cs="宋体"/>
          <w:sz w:val="24"/>
          <w:szCs w:val="24"/>
          <w:highlight w:val="none"/>
        </w:rPr>
        <w:t xml:space="preserve">法定代表人或代理人（签字或盖章）：</w:t>
      </w:r>
      <w:r>
        <w:rPr>
          <w:rFonts w:hint="eastAsia" w:hAnsi="宋体" w:cs="宋体"/>
          <w:sz w:val="24"/>
          <w:szCs w:val="24"/>
          <w:highlight w:val="none"/>
          <w:u w:val="single"/>
        </w:rPr>
        <w:t xml:space="preserve">          </w:t>
      </w:r>
      <w:r/>
    </w:p>
    <w:p>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64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pStyle w:val="1141"/>
        <w:jc w:val="both"/>
        <w:rPr>
          <w:rFonts w:hint="eastAsia" w:ascii="宋体" w:hAnsi="宋体" w:cs="宋体"/>
          <w:b/>
          <w:bCs/>
          <w:szCs w:val="24"/>
          <w:highlight w:val="none"/>
        </w:rPr>
      </w:pPr>
      <w:r>
        <w:rPr>
          <w:rFonts w:hint="eastAsia" w:ascii="宋体" w:hAnsi="宋体" w:cs="宋体"/>
          <w:b/>
          <w:bCs/>
          <w:szCs w:val="24"/>
          <w:highlight w:val="none"/>
        </w:rPr>
        <w:t xml:space="preserve">附件11：投标（响应）保证承诺书</w:t>
      </w:r>
      <w:r/>
    </w:p>
    <w:p>
      <w:pPr>
        <w:pStyle w:val="1141"/>
        <w:jc w:val="center"/>
        <w:rPr>
          <w:rFonts w:hint="eastAsia" w:ascii="宋体" w:hAnsi="宋体" w:cs="宋体"/>
          <w:b/>
          <w:bCs/>
          <w:szCs w:val="24"/>
          <w:highlight w:val="none"/>
        </w:rPr>
      </w:pPr>
      <w:r>
        <w:rPr>
          <w:rFonts w:hint="eastAsia" w:ascii="宋体" w:hAnsi="宋体" w:cs="宋体"/>
          <w:b/>
          <w:bCs/>
          <w:szCs w:val="24"/>
          <w:highlight w:val="none"/>
        </w:rPr>
        <w:t xml:space="preserve">投标（响应）保证承诺书</w:t>
      </w:r>
      <w:r/>
    </w:p>
    <w:p>
      <w:pPr>
        <w:pStyle w:val="1141"/>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（采购代理机构名称）</w:t>
      </w:r>
      <w:r/>
    </w:p>
    <w:p>
      <w:pPr>
        <w:pStyle w:val="1141"/>
        <w:ind w:firstLine="600"/>
        <w:spacing w:line="360" w:lineRule="auto"/>
        <w:rPr>
          <w:rFonts w:hint="eastAsia" w:ascii="宋体" w:hAnsi="宋体" w:cs="宋体"/>
          <w:highlight w:val="none"/>
        </w:rPr>
      </w:pPr>
      <w:r>
        <w:rPr>
          <w:rFonts w:hint="eastAsia" w:ascii="宋体" w:hAnsi="宋体" w:cs="宋体"/>
          <w:highlight w:val="none"/>
        </w:rPr>
        <w:t xml:space="preserve">我（单位/本人，以下统称我单位）自愿参加</w:t>
      </w:r>
      <w:r>
        <w:rPr>
          <w:rFonts w:hint="eastAsia" w:ascii="宋体" w:hAnsi="宋体" w:cs="宋体"/>
          <w:highlight w:val="none"/>
          <w:u w:val="single"/>
        </w:rPr>
        <w:t xml:space="preserve">      （项目名称和采购编号）</w:t>
      </w:r>
      <w:r>
        <w:rPr>
          <w:rFonts w:hint="eastAsia" w:ascii="宋体" w:hAnsi="宋体" w:cs="宋体"/>
          <w:highlight w:val="none"/>
        </w:rPr>
        <w:t xml:space="preserve">的投标（响应）,并做出如下承诺：</w:t>
      </w:r>
      <w:r/>
    </w:p>
    <w:p>
      <w:pPr>
        <w:pStyle w:val="1141"/>
        <w:ind w:firstLine="600"/>
        <w:spacing w:line="360" w:lineRule="auto"/>
        <w:rPr>
          <w:rFonts w:hint="eastAsia" w:ascii="宋体" w:hAnsi="宋体" w:cs="宋体"/>
          <w:highlight w:val="none"/>
        </w:rPr>
      </w:pPr>
      <w:r>
        <w:rPr>
          <w:rFonts w:hint="eastAsia" w:ascii="宋体" w:hAnsi="宋体" w:cs="宋体"/>
          <w:highlight w:val="none"/>
        </w:rPr>
        <w:t xml:space="preserve">一、除不可抗力外，我单位如果发生以下行为，将在行为发生的10个工作日内，向贵方</w:t>
      </w:r>
      <w:r>
        <w:rPr>
          <w:rFonts w:hint="eastAsia" w:ascii="宋体" w:hAnsi="宋体" w:cs="宋体"/>
          <w:highlight w:val="none"/>
          <w:u w:val="single"/>
        </w:rPr>
        <w:t xml:space="preserve">（或采购人）</w:t>
      </w:r>
      <w:r>
        <w:rPr>
          <w:rFonts w:hint="eastAsia" w:ascii="宋体" w:hAnsi="宋体" w:cs="宋体"/>
          <w:highlight w:val="none"/>
        </w:rPr>
        <w:t xml:space="preserve">支付本招标文件公布的预算金额（或最高限价）的2%作为违约赔偿金（数量不确定的单价采购须约定具体金额）。</w:t>
      </w:r>
      <w:r/>
    </w:p>
    <w:p>
      <w:pPr>
        <w:pStyle w:val="1141"/>
        <w:ind w:firstLine="555"/>
        <w:spacing w:line="360" w:lineRule="auto"/>
        <w:rPr>
          <w:rFonts w:hint="eastAsia" w:ascii="宋体" w:hAnsi="宋体" w:cs="宋体"/>
          <w:highlight w:val="none"/>
        </w:rPr>
      </w:pPr>
      <w:r>
        <w:rPr>
          <w:rFonts w:hint="eastAsia" w:ascii="宋体" w:hAnsi="宋体" w:cs="宋体"/>
          <w:highlight w:val="none"/>
        </w:rPr>
        <w:t xml:space="preserve">1.自投标（响应）截止时间至本项目发布中标（成交）公告为止，撤销投标（响应）；</w:t>
      </w:r>
      <w:r/>
    </w:p>
    <w:p>
      <w:pPr>
        <w:pStyle w:val="1141"/>
        <w:ind w:firstLine="555"/>
        <w:spacing w:line="360" w:lineRule="auto"/>
        <w:rPr>
          <w:rFonts w:hint="eastAsia" w:ascii="宋体" w:hAnsi="宋体" w:cs="宋体"/>
          <w:highlight w:val="none"/>
        </w:rPr>
      </w:pPr>
      <w:r>
        <w:rPr>
          <w:rFonts w:hint="eastAsia" w:ascii="宋体" w:hAnsi="宋体" w:cs="宋体"/>
          <w:highlight w:val="none"/>
        </w:rPr>
        <w:t xml:space="preserve">2.中标（成交）后不依法与采购人签订合同；</w:t>
      </w:r>
      <w:r/>
    </w:p>
    <w:p>
      <w:pPr>
        <w:pStyle w:val="1141"/>
        <w:ind w:firstLine="555"/>
        <w:spacing w:line="360" w:lineRule="auto"/>
        <w:rPr>
          <w:rFonts w:hint="eastAsia" w:ascii="宋体" w:hAnsi="宋体" w:cs="宋体"/>
          <w:highlight w:val="none"/>
        </w:rPr>
      </w:pPr>
      <w:r>
        <w:rPr>
          <w:rFonts w:hint="eastAsia" w:ascii="宋体" w:hAnsi="宋体" w:cs="宋体"/>
          <w:highlight w:val="none"/>
        </w:rPr>
        <w:t xml:space="preserve">3.中标（成交）后不按本招标文件规定向贵方缴纳采购代理费。</w:t>
      </w:r>
      <w:r/>
    </w:p>
    <w:p>
      <w:pPr>
        <w:pStyle w:val="1141"/>
        <w:ind w:firstLine="600"/>
        <w:spacing w:line="360" w:lineRule="auto"/>
        <w:rPr>
          <w:rFonts w:hint="eastAsia" w:ascii="宋体" w:hAnsi="宋体" w:cs="宋体"/>
          <w:highlight w:val="none"/>
        </w:rPr>
      </w:pPr>
      <w:r>
        <w:rPr>
          <w:rFonts w:hint="eastAsia" w:ascii="宋体" w:hAnsi="宋体" w:cs="宋体"/>
          <w:highlight w:val="none"/>
        </w:rPr>
        <w:t xml:space="preserve">二、我单位知晓上述行为的法律后果，承认本承诺书作为贵方</w:t>
      </w:r>
      <w:r>
        <w:rPr>
          <w:rFonts w:hint="eastAsia" w:ascii="宋体" w:hAnsi="宋体" w:cs="宋体"/>
          <w:highlight w:val="none"/>
          <w:u w:val="single"/>
        </w:rPr>
        <w:t xml:space="preserve">（或采购人）</w:t>
      </w:r>
      <w:r>
        <w:rPr>
          <w:rFonts w:hint="eastAsia" w:ascii="宋体" w:hAnsi="宋体" w:cs="宋体"/>
          <w:highlight w:val="none"/>
        </w:rPr>
        <w:t xml:space="preserve">要求我单位履行违约赔偿义务的依据作用。</w:t>
      </w:r>
      <w:r/>
    </w:p>
    <w:p>
      <w:pPr>
        <w:pStyle w:val="1141"/>
        <w:ind w:left="1560"/>
        <w:rPr>
          <w:rFonts w:hint="eastAsia" w:ascii="宋体" w:hAnsi="宋体" w:cs="宋体"/>
          <w:highlight w:val="none"/>
        </w:rPr>
      </w:pPr>
      <w:r>
        <w:rPr>
          <w:rFonts w:hint="eastAsia" w:ascii="宋体" w:hAnsi="宋体" w:cs="宋体"/>
          <w:highlight w:val="none"/>
        </w:rPr>
        <w:t xml:space="preserve"> </w:t>
      </w:r>
      <w:r/>
    </w:p>
    <w:p>
      <w:pPr>
        <w:pStyle w:val="1141"/>
        <w:ind w:left="1560"/>
        <w:rPr>
          <w:rFonts w:hint="eastAsia" w:ascii="宋体" w:hAnsi="宋体" w:cs="宋体"/>
          <w:highlight w:val="none"/>
        </w:rPr>
      </w:pPr>
      <w:r>
        <w:rPr>
          <w:rFonts w:hint="eastAsia" w:ascii="宋体" w:hAnsi="宋体" w:cs="宋体"/>
          <w:highlight w:val="none"/>
        </w:rPr>
        <w:t xml:space="preserve">投标（响应）人：</w:t>
      </w:r>
      <w:r>
        <w:rPr>
          <w:rFonts w:hint="eastAsia" w:ascii="宋体" w:hAnsi="宋体" w:cs="宋体"/>
          <w:highlight w:val="none"/>
          <w:u w:val="single"/>
        </w:rPr>
        <w:t xml:space="preserve">             </w:t>
      </w:r>
      <w:r>
        <w:rPr>
          <w:rFonts w:hint="eastAsia" w:ascii="宋体" w:hAnsi="宋体" w:cs="宋体"/>
          <w:highlight w:val="none"/>
        </w:rPr>
        <w:t xml:space="preserve">（盖公章）</w:t>
      </w:r>
      <w:r/>
    </w:p>
    <w:p>
      <w:pPr>
        <w:pStyle w:val="1141"/>
        <w:ind w:left="1620"/>
        <w:rPr>
          <w:rFonts w:hint="eastAsia" w:ascii="宋体" w:hAnsi="宋体" w:cs="宋体"/>
          <w:highlight w:val="none"/>
          <w:u w:val="single"/>
        </w:rPr>
      </w:pPr>
      <w:r>
        <w:rPr>
          <w:rFonts w:hint="eastAsia" w:ascii="宋体" w:hAnsi="宋体" w:cs="宋体"/>
          <w:highlight w:val="none"/>
        </w:rPr>
        <w:t xml:space="preserve">地址：</w:t>
      </w:r>
      <w:r>
        <w:rPr>
          <w:rFonts w:hint="eastAsia" w:ascii="宋体" w:hAnsi="宋体" w:cs="宋体"/>
          <w:highlight w:val="none"/>
          <w:u w:val="single"/>
        </w:rPr>
        <w:t xml:space="preserve">                                </w:t>
      </w:r>
      <w:r/>
    </w:p>
    <w:p>
      <w:pPr>
        <w:pStyle w:val="1141"/>
        <w:ind w:left="1620"/>
        <w:rPr>
          <w:rFonts w:hint="eastAsia" w:ascii="宋体" w:hAnsi="宋体" w:cs="宋体"/>
          <w:highlight w:val="none"/>
          <w:u w:val="single"/>
        </w:rPr>
      </w:pPr>
      <w:r>
        <w:rPr>
          <w:rFonts w:hint="eastAsia" w:ascii="宋体" w:hAnsi="宋体" w:cs="宋体"/>
          <w:highlight w:val="none"/>
        </w:rPr>
        <w:t xml:space="preserve">联系电话：</w:t>
      </w:r>
      <w:r>
        <w:rPr>
          <w:rFonts w:hint="eastAsia" w:ascii="宋体" w:hAnsi="宋体" w:cs="宋体"/>
          <w:highlight w:val="none"/>
          <w:u w:val="single"/>
        </w:rPr>
        <w:t xml:space="preserve">                                  </w:t>
      </w:r>
      <w:r/>
    </w:p>
    <w:p>
      <w:pPr>
        <w:pStyle w:val="1141"/>
        <w:ind w:left="1620"/>
        <w:rPr>
          <w:rFonts w:hint="eastAsia" w:ascii="宋体" w:hAnsi="宋体" w:cs="宋体"/>
          <w:highlight w:val="none"/>
        </w:rPr>
      </w:pPr>
      <w:r>
        <w:rPr>
          <w:rFonts w:hint="eastAsia" w:ascii="宋体" w:hAnsi="宋体" w:cs="宋体"/>
          <w:highlight w:val="none"/>
        </w:rPr>
        <w:t xml:space="preserve">法定代表人或委托代理人(签字或签章)：</w:t>
      </w:r>
      <w:r>
        <w:rPr>
          <w:rFonts w:hint="eastAsia" w:ascii="宋体" w:hAnsi="宋体" w:cs="宋体"/>
          <w:highlight w:val="none"/>
          <w:u w:val="single"/>
        </w:rPr>
        <w:t xml:space="preserve">            </w:t>
      </w:r>
      <w:r/>
    </w:p>
    <w:p>
      <w:pPr>
        <w:pStyle w:val="1141"/>
        <w:ind w:left="1620"/>
        <w:rPr>
          <w:rFonts w:hint="eastAsia" w:ascii="宋体" w:hAnsi="宋体" w:cs="宋体"/>
          <w:highlight w:val="none"/>
        </w:rPr>
      </w:pPr>
      <w:r>
        <w:rPr>
          <w:rFonts w:hint="eastAsia" w:ascii="宋体" w:hAnsi="宋体" w:cs="宋体"/>
          <w:highlight w:val="none"/>
        </w:rPr>
        <w:t xml:space="preserve">日期： </w:t>
      </w:r>
      <w:r/>
    </w:p>
    <w:p>
      <w:pPr>
        <w:pStyle w:val="1141"/>
        <w:rPr>
          <w:rFonts w:hint="eastAsia" w:ascii="宋体" w:hAnsi="宋体" w:cs="宋体"/>
          <w:highlight w:val="none"/>
        </w:rPr>
      </w:pPr>
      <w:r>
        <w:rPr>
          <w:rFonts w:hint="eastAsia" w:ascii="宋体" w:hAnsi="宋体" w:cs="宋体"/>
          <w:highlight w:val="none"/>
        </w:rPr>
      </w:r>
      <w:r/>
    </w:p>
    <w:p>
      <w:pPr>
        <w:pStyle w:val="1141"/>
        <w:ind w:left="1620"/>
        <w:rPr>
          <w:rFonts w:hint="eastAsia" w:ascii="宋体" w:hAnsi="宋体" w:cs="宋体"/>
          <w:highlight w:val="none"/>
        </w:rPr>
      </w:pPr>
      <w:r>
        <w:rPr>
          <w:rFonts w:hint="eastAsia" w:ascii="宋体" w:hAnsi="宋体" w:cs="宋体"/>
          <w:highlight w:val="none"/>
        </w:rPr>
      </w:r>
      <w:r/>
    </w:p>
    <w:p>
      <w:pPr>
        <w:pStyle w:val="1141"/>
        <w:ind w:left="1620"/>
        <w:rPr>
          <w:rFonts w:hint="eastAsia" w:ascii="宋体" w:hAnsi="宋体" w:cs="宋体"/>
          <w:highlight w:val="none"/>
        </w:rPr>
      </w:pPr>
      <w:r>
        <w:rPr>
          <w:rFonts w:hint="eastAsia" w:ascii="宋体" w:hAnsi="宋体" w:cs="宋体"/>
          <w:highlight w:val="none"/>
        </w:rPr>
      </w:r>
      <w:r/>
    </w:p>
    <w:p>
      <w:pPr>
        <w:pStyle w:val="1141"/>
        <w:ind w:left="1620" w:firstLine="1084"/>
        <w:jc w:val="both"/>
        <w:rPr>
          <w:rFonts w:hint="eastAsia" w:ascii="宋体" w:hAnsi="宋体" w:cs="宋体"/>
          <w:b/>
          <w:sz w:val="36"/>
          <w:szCs w:val="36"/>
          <w:highlight w:val="none"/>
        </w:rPr>
        <w:outlineLvl w:val="0"/>
      </w:pPr>
      <w:r/>
      <w:bookmarkStart w:id="28" w:name="_Toc12685"/>
      <w:r/>
      <w:bookmarkStart w:id="29" w:name="_Toc8298"/>
      <w:r>
        <w:rPr>
          <w:rFonts w:hint="eastAsia" w:ascii="宋体" w:hAnsi="宋体" w:cs="宋体"/>
          <w:b/>
          <w:sz w:val="36"/>
          <w:szCs w:val="36"/>
          <w:highlight w:val="none"/>
        </w:rPr>
        <w:t xml:space="preserve">第四章 招标书</w:t>
      </w:r>
      <w:bookmarkEnd w:id="23"/>
      <w:r/>
      <w:bookmarkEnd w:id="24"/>
      <w:r/>
      <w:bookmarkEnd w:id="25"/>
      <w:r/>
      <w:bookmarkEnd w:id="28"/>
      <w:r/>
      <w:bookmarkEnd w:id="29"/>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苏州博思源管理咨询有限公司</w:t>
      </w:r>
      <w:r>
        <w:rPr>
          <w:rFonts w:hint="eastAsia" w:ascii="宋体" w:hAnsi="宋体" w:eastAsia="宋体" w:cs="宋体"/>
          <w:sz w:val="24"/>
          <w:highlight w:val="none"/>
        </w:rPr>
        <w:t xml:space="preserve">受</w:t>
      </w:r>
      <w:r>
        <w:rPr>
          <w:rFonts w:hint="eastAsia" w:ascii="宋体" w:hAnsi="宋体" w:eastAsia="宋体" w:cs="宋体"/>
          <w:sz w:val="24"/>
          <w:highlight w:val="none"/>
          <w:u w:val="single"/>
          <w:lang w:eastAsia="zh-CN"/>
        </w:rPr>
        <w:t xml:space="preserve">苏州市吴中区光福镇人民政府</w:t>
      </w:r>
      <w:r>
        <w:rPr>
          <w:rFonts w:hint="eastAsia" w:ascii="宋体" w:hAnsi="宋体" w:eastAsia="宋体" w:cs="宋体"/>
          <w:sz w:val="24"/>
          <w:highlight w:val="none"/>
        </w:rPr>
        <w:t xml:space="preserve">的委托，就其所需的</w:t>
      </w:r>
      <w:r>
        <w:rPr>
          <w:rFonts w:hint="eastAsia" w:ascii="宋体" w:hAnsi="宋体" w:eastAsia="宋体" w:cs="宋体"/>
          <w:sz w:val="24"/>
          <w:highlight w:val="none"/>
          <w:u w:val="single"/>
          <w:lang w:eastAsia="zh-CN"/>
        </w:rPr>
        <w:t xml:space="preserve">光福镇森林消防、综合执法、交管及治安监控补盲项目</w:t>
      </w:r>
      <w:r>
        <w:rPr>
          <w:rFonts w:hint="eastAsia" w:ascii="宋体" w:hAnsi="宋体" w:eastAsia="宋体" w:cs="宋体"/>
          <w:sz w:val="24"/>
          <w:highlight w:val="none"/>
        </w:rPr>
        <w:t xml:space="preserve">进行国内公开招标。欢迎有资格的供应商前来参加投标。</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一、招标编号：</w:t>
      </w:r>
      <w:r>
        <w:rPr>
          <w:rFonts w:hint="eastAsia" w:ascii="宋体" w:hAnsi="宋体" w:eastAsia="宋体" w:cs="宋体"/>
          <w:sz w:val="24"/>
          <w:szCs w:val="24"/>
          <w:highlight w:val="none"/>
          <w:lang w:eastAsia="zh-CN"/>
        </w:rPr>
        <w:t xml:space="preserve">JSZC-320506104-BSYY-G2025-000</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号</w:t>
      </w:r>
      <w:r/>
    </w:p>
    <w:p>
      <w:pPr>
        <w:spacing w:line="360" w:lineRule="auto"/>
        <w:rPr>
          <w:rFonts w:hint="eastAsia" w:ascii="宋体" w:hAnsi="宋体" w:eastAsia="宋体" w:cs="宋体"/>
          <w:sz w:val="24"/>
          <w:szCs w:val="24"/>
          <w:highlight w:val="none"/>
          <w:lang w:eastAsia="zh-CN"/>
        </w:rPr>
      </w:pPr>
      <w:r/>
      <w:bookmarkStart w:id="30" w:name="OLE_LINK1"/>
      <w:r>
        <w:rPr>
          <w:rFonts w:hint="eastAsia" w:ascii="宋体" w:hAnsi="宋体" w:eastAsia="宋体" w:cs="宋体"/>
          <w:b/>
          <w:bCs/>
          <w:sz w:val="24"/>
          <w:szCs w:val="24"/>
          <w:highlight w:val="none"/>
        </w:rPr>
        <w:t xml:space="preserve">二、招标内容：</w:t>
      </w:r>
      <w:r>
        <w:rPr>
          <w:rFonts w:hint="eastAsia" w:ascii="宋体" w:hAnsi="宋体" w:eastAsia="宋体" w:cs="宋体"/>
          <w:sz w:val="24"/>
          <w:szCs w:val="24"/>
          <w:highlight w:val="none"/>
          <w:lang w:eastAsia="zh-CN"/>
        </w:rPr>
        <w:t xml:space="preserve">光福镇森林消防、综合执法、交管及治安监控补盲项目</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三、采购预算：</w:t>
      </w: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壹佰贰拾捌万叁仟贰佰壹拾伍元整</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lang w:eastAsia="zh-CN"/>
        </w:rPr>
        <w:t xml:space="preserve"> 1283215</w:t>
      </w:r>
      <w:r>
        <w:rPr>
          <w:rFonts w:hint="eastAsia" w:ascii="宋体" w:hAnsi="宋体" w:eastAsia="宋体" w:cs="宋体"/>
          <w:sz w:val="24"/>
          <w:szCs w:val="24"/>
          <w:highlight w:val="none"/>
        </w:rPr>
        <w:t xml:space="preserve">.00元）</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zh-CN"/>
        </w:rPr>
        <w:t xml:space="preserve">四、合同履行期限：</w:t>
      </w:r>
      <w:r>
        <w:rPr>
          <w:rFonts w:hint="eastAsia" w:ascii="宋体" w:hAnsi="宋体" w:eastAsia="宋体" w:cs="宋体"/>
          <w:sz w:val="24"/>
          <w:szCs w:val="24"/>
          <w:highlight w:val="none"/>
          <w:lang w:eastAsia="zh-CN"/>
        </w:rPr>
        <w:t xml:space="preserve">设备交货期为自签订合同之日起60天内安装调试完毕，并投入正常使用。质保期为项目验收合格之日起</w:t>
      </w: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lang w:eastAsia="zh-CN"/>
        </w:rPr>
        <w:t xml:space="preserve">3年。</w:t>
      </w:r>
      <w:r/>
    </w:p>
    <w:p>
      <w:pP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五、服务内容及要求：</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（一）项目概况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光福镇辖区内的山体（如邓尉山、玉屏山等）森林覆盖率高（约65%），植被茂盛，生物多样性丰富，根据吴中区森林防火“十四五”发展规划中要求，在森林资源分布的重点地区、重点部位，加强视频监控系统建设；对不符合要求的视频监控进行换代更新，发挥其在火情自动识别、实时监测中的作用。通过综合监测手段，提升森林火险预警、火情实时监测能力。</w:t>
      </w:r>
      <w:r/>
    </w:p>
    <w:p>
      <w:pPr>
        <w:numPr>
          <w:ilvl w:val="0"/>
          <w:numId w:val="0"/>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highlight w:val="none"/>
        </w:rPr>
        <w:t xml:space="preserve">建设内容</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本项目建设内容包括建设光福镇森林防火道口监控系统、共计56个</w:t>
      </w:r>
      <w:bookmarkStart w:id="31" w:name="OLE_LINK9"/>
      <w:r>
        <w:rPr>
          <w:rFonts w:hint="eastAsia" w:ascii="宋体" w:hAnsi="宋体" w:eastAsia="宋体" w:cs="宋体"/>
          <w:sz w:val="24"/>
          <w:szCs w:val="24"/>
          <w:highlight w:val="none"/>
        </w:rPr>
        <w:t xml:space="preserve">森林防火点位</w:t>
      </w:r>
      <w:bookmarkEnd w:id="31"/>
      <w:r>
        <w:rPr>
          <w:rFonts w:hint="eastAsia" w:ascii="宋体" w:hAnsi="宋体" w:eastAsia="宋体" w:cs="宋体"/>
          <w:sz w:val="24"/>
          <w:szCs w:val="24"/>
          <w:highlight w:val="none"/>
        </w:rPr>
        <w:t xml:space="preserve">、提供辖区内</w:t>
      </w:r>
      <w:bookmarkStart w:id="32" w:name="OLE_LINK11"/>
      <w:r/>
      <w:bookmarkStart w:id="33" w:name="OLE_LINK12"/>
      <w:r>
        <w:rPr>
          <w:rFonts w:hint="eastAsia" w:ascii="宋体" w:hAnsi="宋体" w:eastAsia="宋体" w:cs="宋体"/>
          <w:sz w:val="24"/>
          <w:szCs w:val="24"/>
          <w:highlight w:val="none"/>
        </w:rPr>
        <w:t xml:space="preserve">森林防火点位</w:t>
      </w:r>
      <w:bookmarkEnd w:id="32"/>
      <w:r/>
      <w:bookmarkEnd w:id="33"/>
      <w:r>
        <w:rPr>
          <w:rFonts w:hint="eastAsia" w:ascii="宋体" w:hAnsi="宋体" w:eastAsia="宋体" w:cs="宋体"/>
          <w:sz w:val="24"/>
          <w:szCs w:val="24"/>
          <w:highlight w:val="none"/>
        </w:rPr>
        <w:t xml:space="preserve">检测服务，其他硬件设备、辅材、设备系统集成安装调试和监控系统维护。</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）采购设备清单</w:t>
      </w:r>
      <w:r/>
    </w:p>
    <w:tbl>
      <w:tblPr>
        <w:tblStyle w:val="918"/>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2018"/>
        <w:gridCol w:w="4068"/>
        <w:gridCol w:w="812"/>
        <w:gridCol w:w="812"/>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参数、规格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室外感知人像设备</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1、传感器类型≥1/1.8英寸CMOS；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2、像素≥400万；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4、最低照度：彩色模式≤0.001lux；黑白模式≤0.0001lux；0lux（补光灯开启）；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5、最大补光距离：红外距离≥80m；暖光距离≥60m；人脸检测距离≥16m；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6、补光灯数量≥4颗（多晶（红外+暖光）灯）；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7、镜头类型：电动变焦；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8、镜头焦距：最小焦距≤8mm，最大焦距≤32mm；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9、周界防范支持内容：绊线入侵，区域入侵，快速移动，徘徊检测，人员聚集，停车检测；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人脸监测及识别：支持人脸检测，支持跟踪，支持优选，支持抓拍，支持上报最优的人脸抓图，支持人脸增强，人脸曝光，支持人脸属性提取，支持多种属性多种表情：性别、年龄、眼镜、表情（愤怒，平静，高兴，悲伤，厌恶，惊讶，困惑，害怕）、口罩、胡子 ，支持人脸抠图区域可设：人脸、单寸照、自定义，支持优选抓拍、识别优先2种抓拍策略；支持人脸角度过滤功能，支持优选时长可设，支持添加不低于10个人脸库，支持单个以及批量人员注册，支持人脸识别相似度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人数统计：支持绊线人数统计，支持区域内人数统计，并可显示及输出日、月、年统计报表，支持排队管理功能，并可显示及输出日、月统计报表，支持不低于4个绊线人数统计，不低于4个区域内人数统计，不低于4个排队管理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视频结构化：支持机动车、非机动车、人脸、人体检测；支持跟踪；支持优选；支持抓拍；支持上报最优的人脸抓图，支持机动车和非机动车属性提取，支持人脸和人体属性提取，人脸支持6种属性，人体支持8种属性，人体属性（上衣类型，下衣类型，上衣颜色，下衣颜色，背包，帽子，性别，雨伞） 人脸属性（性别，年龄，表情，戴眼镜，戴口罩，胡子）；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设备可对车灯进行强光抑制，夜晚天气晴朗无遮挡的条件下：当监控画面中有车辆经过时，设备可对车灯进行强光抑制，可看清车辆轮廓；当监控画面中无车辆经过时，设备可使整体画面亮度提高，可看清监控画面中道路场景、标志、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14、AI编码：H.264；H.265；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15、宽动态≥120dB；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16、走廊模式：90°/270°（在2688×1520分辨率及以下支持）；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17、自适应镜头校正（图像矫正）：支持；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18、重瞳：支持；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报警事件：无SD卡；SD卡空间不足；SD卡出错；网络断开；IP冲突；非法访问；动态检测；视频遮挡；绊线入侵；区域入侵；快速移动；物品遗留；物品搬移；徘徊检测；人员聚集；停车检测；场景变更；音频异常侦测；电压检测；虚焦侦测；人脸检测；人脸识别；视频结构化；区域内人数统计；人数统计；安全异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20、接入标准：ONVIF，GB/T28181-2022，GA/T1400，GB/35114A；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21、预览最大用户数：20个（总带宽：80M）；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22、最大Micro SD卡：512GB；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23、供电方式：DC12V；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全彩摄像机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1、传感器：≥400万像素CMOS传感器;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2、靶面尺寸：≥1/1.8＂;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3、焦距：≥2.8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4、图像分辨率：≥2560 × 1440;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5、最低照度：彩色≤0.0005 lx，黑白≤0.0001 lx;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6、光圈：≥F1.0;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7、★补光：补光灯灯杯采用双层透镜结构，外表平面为柔光层，采用复眼式微透镜阵列，具有六边形阵列纹路;下层束光层为鳞甲TIR透镜，内壁具有鳞甲阵列纹路;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8、补光距离：≥30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9、★具有日夜场景自适应功能，在白天和夜晚环境下，均可输出彩色图像，在夜晚自动开启补光灯条件下，夜晚图像清晰度应不低于白天图像清晰度的95%；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变焦人员检测筒型摄像机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1、传感器：≥400万像素CMOS传感器;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2、靶面尺寸：≥1/2.7＂;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3、焦距：≥2.8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4、图像分辨率：≥2560 × 1440;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5、最低照度：彩色≤0.005 lx，黑白≤0.001 lx;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6、光圈：≥F1.2;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7、★补光：内置鳞镜式补光灯，灯珠朝向与设备照射方向不同，灯杯为半弧形网络鳞片状；补光灯开启后正面不可见补光灯灯珠，灯光应均匀无波纹、圆环状、麻点状、条纹状和不规则亮斑;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8、补光距离：≥30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通过IE浏览器或客户端设置智能分析模式为人数统计、倾斜客流统计、拥挤检测、Smart事件和普通监控模式。人数统计模式具有在离岗检测、区域关注度、热度图3种类别。具有智能APP管理功能，支持在线切换运行APP、配置APP操作，APP管理操作无需重启设备，操作期间预览画面无中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10、具有H.265、H.264、MJPEG视频编码设置选项，可将H.265、H.264格式设置为Baseline/Main/High Profile。；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全彩智能球机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1、传感器：≥400万像素CMOS传感器;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2、靶面尺寸：≥1/1.8＂;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3、最大焦距：≥188 mm; ≥32倍光学变倍;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4、图像分辨率：≥2688×1520;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5、最低照度：彩色≤0.0005 lx，黑白≤0.0001 lx;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6、光圈：≥F1.5;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7、★补光：内置暖白光补光灯，在夜晚天气晴朗无遮挡的情况下，仅开启暖白光补光灯，可识别距离设备30m处的人体轮廓；红外作用距离：可识别距离设备200m处的人体轮廓;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8、补光距离：≥30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设备支持水平旋转范围0~360°连续旋转，垂直旋转范围-15°~90°；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10、支持全结构化：支持混合目标检测，对检测区域内的人、非机动车、车进行同时抓拍上传，人脸人体关联输出，并实现对人脸、人体、车辆结构化属性特征信息提取；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11、★设备具有AI-ISP图像质量提升功能，在低照度环境下，可自动调节预览场景视频画面中人脸、人体、车辆等目标及预览场景视频画面的区域曝光、亮度、色彩饱和度、对比度、锐度等;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12、★设备内置8GB eMMC，内置大模型算法芯片，可调用大模型算法检测并分类识别目标（人员、机动车、动物）；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13、★设备具有 VR 全景拼接功能，拼接图像具有柱状全景图和鱼眼全景图 2 种模式，生成柱状全景图分辨率为 8192×2436，鱼眼全景图分辨率为3446×3446；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摄像机专用二合一防雷器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网络摄像机二合一防雷器， 10M/100M  RJ45接口， 220V AC电源接口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室外壁挂不锈钢设备箱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定制不锈钢室外设备箱，400mm*300mm*200mm（±5%），含设备安装底板、控制开关、电源分配器等；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室外壁挂不锈钢设备箱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定制不锈钢室外设备箱，500mm*400mm*300mm（±5%），含设备安装底板、控制开关、电源分配器等；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米立杆：热镀锌喷塑，管壁厚度3mm，下底部的管径140MM,上部管径90MM，管壁厚度2mm，（含立杆基础浇筑：基础为现场浇注。山林地区砂石土人工开挖基坑；浇注前在事先挖好的坑槽中铺20CM厚沙垫层。监控杆的基础上表面与杆周围最近处的道路基础设施的标高相同。基础强度不低于C25；基础尺寸（m）：0.6*0.6*1；地脚螺栓（mm）：4根M18*800；横臂长：≤1m；2.5米接地棒，避雷引下线敷设BVV6MM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米立杆：热镀锌喷塑，管壁厚度3mm，下底部的管径140MM,上部管径90MM，管壁厚度2mm，（含立杆基础浇筑：基础为现场浇注。山林地区砂石土人工开挖基坑；浇注前在事先挖好的坑槽中铺20CM厚沙垫层。监控杆的基础上表面与杆周围最近处的道路基础设施的标高相同。基础强度不低于C25；基础尺寸（m）：0.6*0.6*1；地脚螺栓（mm）：4根M18*800；横臂长：≤1m；2.5米接地棒，避雷引下线敷设BVV6MM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借杆支架</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铝合金材质，旋转角度：水平：0~180°，垂直：-30°~0；枪机壁装支架/吊装支架，包含抱箍紧固件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输入220VAC ,输出12DC，2000MA；</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感应防水音柱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1、供电输入：支持DC9~24V输入，输入口可外接AC220V转DC9V电源适配 器给设备进行供电；</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2、U盘接口:用于外接U盘扩展内存，≤32G容量；</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3、TF卡座:用于使用TF卡扩展内存，最大支持≤32G容量；</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4、物理调节音量旋钮，可实时调节设备播放音量大小；</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5、Micro USB接口:用于设备与电脑端连接，可更换设备语音文件及配置文件等；</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6、音柱功率≥30W；</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7、触发方式：红外；</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8、自带内存≥8MB;</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9、文件播放格式：MP3；</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10、感应距离角度：5—8米，120度；</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11、防护等级：IP65。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64路网络存储设备</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1、存储接口：≥16个SATA接口；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2、视频接口：≥2×HDMI，≥2×VGA；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3、网络接口：≥2×RJ45 10/100/1000Mbps自适应以太网口；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4、报警接口：≥16路报警输入，≥9路报警输出；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5、反向供电：≥1路DC12V 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6、USB接口：≥2×USB 2.0，≥2×USB 3.0；扩展接口：≥1×eSATA；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7、接入带宽≥384Mbps，存储带宽384≥Mbps，转发带宽≥256Mbps；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8、接入能力：≥64路H.264、H.265格式高清码流接入；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9、解码能力：支持32×1080P；显示能力：支持8K+1080P、2×4K异源输出；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10、RAID模式：RAID0、RAID1、RAID5、RAID6、RAID10；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11、支持4路视频流人脸识别，支持16路图片流人脸识别；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13、支持将搜索内容添加到历史记录，历史检索词条保持最近10条，通过直接点击该高频热词或历史记录可直接进行重复检索;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14、支持前端IPC证书二次校验机制，未通过证书校验的IPC不允许添加到NVR；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15、支持查看在线用户信息，包括用户名、用户类型、IP地址和用户最后操作时间等维护信息。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1、操作系统：嵌入式Linux操作系统；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2、后智能分析：支持后智能人脸检测、人脸识别、周界防范、智能动检；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3、前智能分析：支持前智能人脸检测、人脸识别、视频结构化、周界防范、智能动检、立体行为分析、人像检测、人群分布、人数统计、热度图、车牌识别、车辆密度、物品监控、高空抛物检测、电瓶车入梯；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4、周界后智能性能（路数）：4路，每路绘制10规则线；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5、周界前智能性能（路数）：全通道（最大处理16个事件/秒）；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6、人脸检测后智能性能（1080P）(路数)：2路，单路同时最多检测12张人脸；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7、人脸识别后智能性能（1080P）(路数)：1. 前端人脸检测+后端人脸比对支持16路图片流，最多同时处理16张/秒人脸；2. 后端人脸检测+后端人脸比对支持2路视频流，最多同时处理12张/秒人脸；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8、人脸识别前智能性能（路数）：全通道（最大处理16个事件/秒）；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9、接入路数：32路；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10、分辨率：32MP；24MP；16MP；12MP；8MP；6MP；5MP；4MP；3MP；1080p；720p；960p；D1；CIF；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解码能力：不开智能：2路32MP@25fps；2路24MP@25fps；4路16MP@25fps；6路12MP@25fps；9路8MP@25fps；12路6MP@25fps；14路5MP@25fps；18路4MP@25fps；32路1080p@25fps；开智能：1路32MP@25fps；1路24MP@25fps；2路16MP@30fps；4路12MP@30fps；6路8MP@30fps；8路6MP@30fps；8路5MP@30fps；12路4MP@30fps；24路1080p@30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12、RAID：RAID0/1/5/6/10；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13、报警输入：16路；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14、报警输出：9路，其中8路继电器输出，1路12V1A ctrl输出；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15、硬盘接口：8个SATA，单盘最大20T；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16、网络接口：2个（10M/100M/1000M以太网口，RJ-45）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监控级8TB硬盘（视频保存2个月以上）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硬件采用非模块化设计，配备48个10/100/1000Base-T电口和4个千兆SFP光接口，总端口数52个，支持堆叠功能和iStack智能堆叠技术，内置单风扇风冷散热系统，支持三层路由协议、4K VLAN划分、QoS策略及ACL安全控制，可通过CLI或图形界面进行用户分级管理与SSH加密配置。背板带宽：432Gbps/4.32Tbps;包转发率：87/166Mpps</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网络传输终端设备</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1、WAN 口:1路EPON/GPON自适应光口</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2、LAN口:4路GE</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3、电源:DC+12V电源适配器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一体化平台</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1、★设备具有1个DP接口、2个HDMI接口，1个VGA口、4个RJ45 10/100/1000Mbps 自适应以太网口、7个USB接口（其中5个USB2.0接口,2个USB3.0接口）、1个RS-485接口、1个RS-232接口、16路报警输入接口、4路报警输出接口、 5个SATA 3.0接口；具有2路音频输入（1路3.5mm，1路RCA），2路音频输出（1路3.5mm、1路RCA）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2、支持对用户、角色、组织、区域、人员、车辆、卡片、设备等基础资源进行管理调配；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3、★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运行管理中心提供统一的认证、授权管理机制，支持HTTPS以及密码安全加密访问认证；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4、支持业务应用组件化，各组件独立运行、维护，支持独立安装或卸载；</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5、★支持多类数据自定义扩展，包括门禁事件展示信息与查询信息自定义扩展、考勤数据来源自定义扩展、考勤事件类型自定义扩展、考勤规则自定义扩展、食堂消费规则自定义扩展、巡更点自定义扩展、车辆和卡片信息自定义扩展、停车场放行规则自定义扩展、停车场收费规则自定义扩展、停车场支付方式自定义扩展；</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6、监控点最大管理容量为300路；</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7、客户端支持在1/2/3/4/6/8/9/10/13/14/16/17/24/25画面分隔模式下进行监控点轮巡预览，轮巡时间可设置，支持全屏显示；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8、支持在视频预览、录像回放、即时回放、录像剪辑、手动录像和录像下载时叠加水印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9、支持管理10个电视墙，监控点上墙出图像耗时小于3秒，支持电视墙场景管理和场景切换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10、★支持大屏控制，可对大屏进行1/4/9/16/25分屏、拼接、开窗、窗口漫游的操作，通过客户端支持电视墙开窗后支持分割，并可将大屏分屏配置另保存为场景，支持在iPad上操作监控点上墙、拼接、分屏、漫游、预案切换等操作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11、通过客户端支持预览上墙、回放上墙、轮巡上墙、报警联动上墙，通过配置窗口分屏数（1/4/9/16/25），使预览上墙分割数等于或大于配置的数时上墙子码流，低于配置的分屏数时上墙主码流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12、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13、★支持以脸搜脸的多脸模式，上传一张图片中有多个人脸时，可对图片中的多个人脸一次识别后依次选择进行以脸搜脸，无需多次上传，人脸数最大不超过五个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14、支持管理门禁点数量500个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15、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16、支持根据用户使用习惯自定义配置快捷功能入口，支持首页投放大屏展示，支持最近7天每日的用户活跃数统计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17、支持多色彩（红、橙、黄）展示运行告警状态，支持告警统计、概览、处理，支持告警记录查看、查询，支持告警单条、批量处理；支持系统最近7天每日告警数统计，支持评分量化系统监控指数，显示系统运行状态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18、支持多种事件类型配置联动规则，事件源包含：通用视频事件、入侵报警事件、IO事件、门禁事件、停车场事件、可视对讲事件、园区卡口事件、行车监控事件、梯控事件、动环事件、人脸识别事件、消防事件、热成像事件、行为分析事件；支持自定义事件等级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19、支持报警预案功能，配置事件联动时可以自定义输入预案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20、★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21、支持对历史录像的完整率进行监控，统计项包括录像完整数、录像丢失数、巡检失败数、未检测数、监控点总数；支持以统计图展现指定区域的录像完整情况，支持报表展示视频质量统计、录像完整率统计、区域运维考核结果统计，支持设备巡检计划配置，包括计划名称、巡检类型、采集对象、巡检时间、巡检频率、状态，并以列表形式展现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22、支持GB/T 28181-2011/2016协议平台级联配置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23、★支持开启SVC解码功能，可同时回放5路400W分辨率、H.264/H.265编码格式的视频图像，解码总资源为10个1920×1080格式的视频图像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24、显示输出分辨率具有1024×768/60Hz、1280×720/60Hz、1280×1024/60Hz、1600×1200/60Hz、1920×1080/60Hz、2560×1440/60Hz、4K(3840×2160)/30Hz、4K(4096×2160)/30Hz设置选项；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25、智能后检索：接入支持智能分析功能的IPC，录像回放时，可设置移动侦测区域、越界/区域入侵区域并进行检索，可自动跳过未触发设定规则的录像，只播放触发规则的录像，并且播放速度可设置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26、网络容错：可将多个网口设置同一IP地址，其中任一网口损坏时，仍能正常工作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27、可对IPC的参数配置进行修改，可设置曝光、日夜转换、背光、图像增强、分辨率、码率、帧率、字符叠加、隐私遮盖等；并支持将IPC参数配置到其他通道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28、★支持接入高级移动侦测的相机，移动侦测报警能够区分是人、车还是其它目标产生，可录像和记录报警信息；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视频应用安全防护系统</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1U 机架式设备；1 个 CONSOLE 口，2 个 USB 口；板载 6 个 100/1000M电口，1 组 Bypass；支持扩展 2 个1000M 光口；1T 硬盘；单电源。HTTP 吞吐：1000Mbps；HTTP 新建（CPS）：10,000/s；HTTP 新建事务能力（TPS）：26,000/s；HTTP 最大并发连接数：1,500,000。支持SQL注入、XSS跨站攻击防御策略，支持特征检测与语义分析算法检测，支持轻量级蜜罐防御功能，提供伪造的后台管理系统页面，主动诱使黑客进行</w:t>
            </w:r>
            <w:r>
              <w:rPr>
                <w:rFonts w:hint="eastAsia" w:ascii="宋体" w:hAnsi="宋体" w:eastAsia="宋体" w:cs="宋体"/>
                <w:i w:val="0"/>
                <w:iCs w:val="0"/>
                <w:color w:val="000000"/>
                <w:sz w:val="21"/>
                <w:szCs w:val="22"/>
                <w:u w:val="none"/>
                <w:lang w:val="en-US" w:eastAsia="zh-CN" w:bidi="ar"/>
              </w:rPr>
              <w:t xml:space="preserve">攻击，记录攻击行为，支持三权分立的管理，系统管理员、审计管理员、账号管理员，可以根据管理账号角色的不同，分配不同的权限。支持日志综合统计分析，可对源IP、目的IP、源地域、攻击类型、级别、处理动作、协议类型、客户端设备类型、客户端操作系统、客户端浏览器类型进行综合统计分析，并通过饼图、曲线图及柱图等对分析结果进行图形化统计）。支持移动端管理功能，不需要安装APP和第三方插件，通过手机浏览器即可管理设备，并可查看设备CPU、内存使用情况，支持移动端对资产的一键断网功能，提供网站一键下线以及批量下线的应急措施。</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网络边界设备</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rPr>
                <w:rFonts w:hint="eastAsia" w:ascii="宋体" w:hAnsi="宋体" w:eastAsia="宋体" w:cs="宋体"/>
                <w:i w:val="0"/>
                <w:iCs w:val="0"/>
                <w:color w:val="000000"/>
                <w:sz w:val="21"/>
                <w:szCs w:val="22"/>
                <w:u w:val="none"/>
                <w:lang w:val="en-US" w:eastAsia="zh-CN" w:bidi="ar"/>
              </w:rPr>
              <w:t xml:space="preserve">业务接口：千兆电口8个，千兆光口2个，高度1U；2、吞吐量1Gbps，并发连接50万,新建5000；3、支持IPSec VPN、L2TP VPN、GRE VPN、SSL VPN，并且全内置硬件加密芯片，配置SSL VPN并发用户10个；4、支持深入到应用层的防护，内嵌丰富的应用层过滤与控制引擎，可支持IPS、防病毒、流控等功能，支持可升级的专业特征库；5、支持一对一、地址池等NAT方式；支持多种应用协议，如FTP、H.323、RAS、RTSP、SIP、ICMP、DNS、PPTP、NBT的NAT ALG功能；</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22U标准机柜，2000*800*600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室外超5类，线缆敷设制作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电源线RVV2*1.5，线缆敷设制作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电源线RVV3*2.5，线缆敷设制作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1、PE国标直径≥20mm；2、室外地下埋设，深度≥40CM；3、绿化恢复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太阳能供电装置</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包含240W太阳能光伏组件、120AH三元锂电池、光伏智能控制器及箱体、光伏组件安装支架、配线等，直流12V电源输出；3米以上高空作业：安装、调试等；3米以上高空作业：安装、调试等；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5类网络跳线1米；线缆敷设制作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车辆抓拍单元</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1、传感器类型≥1.1英寸GS-CMOS；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2、电子快门：1/50s～1/100000s（可手动或自动调节）；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3、图像分辨率≥4096×2336（不包含OSD黑边）；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4、视频帧率：最大支持50fps；默认主码流（4096×2336@25fps），辅码流（1600×1200@25fps）；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5、视频压缩标准：H.265；H.264；MJPEG；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6、图片编码格式：JPEG；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7、图片合成：支持1/2/3/4张图片合成；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8、国密功能：支持国密GB 35114-A级功能；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9、光圈控制接口：1个，P-IRIS自动光圈；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10、外置灯接口：7个，光耦开关量信号输出（可配置为闪光灯、多合一灯、LED频闪灯同步输出接口，频率可设置）；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11、网络接口：2个独立MAC、物理隔离的RJ-45以太网口，支持10/100/1000M网络数据传输；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12、存储接口：1个，最大支持256GB TF卡本地存储；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13、RS-485接口：2个，可用于连接信号检器、红绿灯信号检测器、外接灯；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14、RS-232接口：4个，其中RTG用于串口调试；R1T1G、R2T2G、R3T3G连接雷达；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15、I/O接口：4个，用于I/O触发抓拍信号输入，与报警输入复用；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16、报警输入：4路，与I/O接口复用；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17、报警输出：2路开关量信号，AO1为继电器，AO2为光耦；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18、音频输入：1路（3.5mmJACK头）；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19、音频输出：1路（3.5mmJACK头）；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20、供电方式：AC100–240V；50Hz；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前排人脸检测功能检查：支持车辆前排人脸检测并识别主驾驶员的性别、是否戴眼镜结构化属性信息；支持在抓拍图上叠加主/副驾驶人脸小图和主/副驾驶员的结构化属性信息，结构化属性信息可通过OSD叠加到抓拍图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22、行人流量检测和统计功能检查：支持行人流量检测和统计，可实时检测行人，并进行计数统计；行人流量检测和统计准确率≥99%。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23、抓图特写区域范围设置功能检查：支持对抓图特写区域的范围进行设置。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24、透雾模式功能检查：支持透雾模式的开启和关闭，可分别设置早晨/傍晚/白天/夜晚等不同场景下的透雾模式状态。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25、信号灯状态显示功能检查：支持在预览界面利用图标实时显示道路信号灯红绿状态。</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LED频闪灯</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型：LED灯；光源：可见光（波长350nm～780nm）；色温：3500K；中心光照度：≤5lx（20m平均光照度），≤20lx（20m有效光照度）；触发方式：开关量；光斑覆盖范围：1车道；补光距离：16m～26m；频率：100Hz；6米以上高空作业：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室外壁挂不锈钢设备箱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定制不锈钢室外设备箱，500mm*400mm*300mm（±5%），含设备安装底板、控制开关、电源分配器等；3米以上高空作业：安装、调试等；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借杆横臂</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镀锌方管横臂，尺寸：120mm*120mm*6000mm；固定方式：与原有交通指示牌横臂平行焊接，及抱箍固定；6米以上高空焊接、制作、固定；</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铝合金材质，三维万向节支架，尺寸：115*115*98.8mm；承重≥6KG；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网络传输终端设备</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1、WAN 口:1路EPON/GPON自适应光口</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2、LAN口:4路GE</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3、电源:DC+12V电源适配器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室外超5类，线缆敷设制作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电源线RVV3*2.5，线缆敷设制作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波纹管</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32，埋地敷设</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全结构化抓拍摄像机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1、传感器：≥800万像素CMOS传感器；镜头接口应采用C或CS接口;</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2、靶面尺寸：≥1/1.8＂；</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3、焦距范围：≥3.8-16mm；</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4、图像分辨率：≥3840 × 2160；</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5、最低照度：彩色≤0.0002 lx，黑白≤0.0001 lx,最大亮度鉴别等级（灰度等级）不小于11级；</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6、光圈：≥F1.2；</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7、补光距离：≥60 m；</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8、补光灯类型：内置混合补光灯，可对红外灯及白光灯功率进行调节;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9、宽动态：≥120dB;</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10、支持GB35114安全加密；</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11、支持全结构化：支持混合目标检测，对检测区域内的人、非机动车、车进行同时抓拍上传，人脸人体关联输出，并实现对人脸、人体、车辆结构化属性特征信息提取；</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12、采用金属外壳；</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13、支持H.264、H.265、MJPEG视频编码格式，且具有High Profile编码能力；</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多维客流统计摄像机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1、传感器：≥800万像素CMOS传感器；</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2、靶面尺寸：≥1/1.8＂；</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3、焦距范围：≥8~32mm；</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4、图像分辨率：≥3840 × 2160@25fps；</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5、最低照度：彩色≤0.002 lx，黑白≤0.001 lx；</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6、光圈：≥F1.2；</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7、补光距离：≥50 m；</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8、补光灯类型：白光补光; </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9、宽动态：≥120dB;</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10、支持双向统计客流量及统计重复客流数量，并将统计结果实时叠加在监控画面上；</w:t>
            </w:r>
            <w:r>
              <w:rPr>
                <w:rFonts w:hint="eastAsia" w:ascii="宋体" w:hAnsi="宋体" w:eastAsia="宋体" w:cs="宋体"/>
                <w:i w:val="0"/>
                <w:iCs w:val="0"/>
                <w:color w:val="000000"/>
                <w:sz w:val="21"/>
                <w:szCs w:val="22"/>
                <w:u w:val="none"/>
                <w:lang w:val="en-US" w:eastAsia="zh-CN" w:bidi="ar"/>
              </w:rPr>
              <w:br/>
            </w:r>
            <w:r>
              <w:rPr>
                <w:rFonts w:hint="eastAsia" w:ascii="宋体" w:hAnsi="宋体" w:eastAsia="宋体" w:cs="宋体"/>
                <w:i w:val="0"/>
                <w:iCs w:val="0"/>
                <w:color w:val="000000"/>
                <w:sz w:val="21"/>
                <w:szCs w:val="22"/>
                <w:u w:val="none"/>
                <w:lang w:val="en-US" w:eastAsia="zh-CN" w:bidi="ar"/>
              </w:rPr>
              <w:t xml:space="preserve">11、防护等级：≥IP67;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挑臂支架</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国产定制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千兆工业交换机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DS-3T0510/含电源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设备抱杆机箱</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DS-TAC100-G/3/1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室外超5类，线缆敷设制作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电源线RVV3*2.5，线缆敷设制作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互联网专线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运营商，公安50M视频数据专用网络通道（3年）</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互联网专线</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中心节点500M专线（3年）</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传输光缆</w:t>
            </w:r>
            <w:r/>
          </w:p>
        </w:tc>
        <w:tc>
          <w:tcPr>
            <w:shd w:val="clear" w:color="auto" w:fill="auto"/>
            <w:tcBorders>
              <w:top w:val="single" w:color="000000" w:sz="4" w:space="0"/>
              <w:left w:val="single" w:color="000000" w:sz="4" w:space="0"/>
              <w:bottom w:val="single" w:color="000000" w:sz="4" w:space="0"/>
              <w:right w:val="single" w:color="000000" w:sz="4" w:space="0"/>
            </w:tcBorders>
            <w:tcW w:w="40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点对点裸纤 (3年)</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bl>
    <w:p>
      <w:pPr>
        <w:numPr>
          <w:ilvl w:val="0"/>
          <w:numId w:val="0"/>
        </w:numPr>
        <w:ind w:firstLine="482"/>
        <w:jc w:val="left"/>
        <w:pageBreakBefore w:val="0"/>
        <w:spacing w:line="360" w:lineRule="auto"/>
        <w:rPr>
          <w:rFonts w:hint="eastAsia" w:ascii="宋体" w:hAnsi="宋体" w:eastAsia="宋体" w:cs="宋体"/>
          <w:b/>
          <w:sz w:val="24"/>
          <w:szCs w:val="24"/>
          <w:highlight w:val="none"/>
          <w:shd w:val="clear" w:color="auto" w:fill="ffffff"/>
          <w:lang w:val="en-US" w:eastAsia="zh-CN" w:bidi="ar-SA"/>
        </w:rPr>
        <w:outlineLvl w:val="9"/>
      </w:pPr>
      <w:r>
        <w:rPr>
          <w:rFonts w:hint="eastAsia" w:ascii="宋体" w:hAnsi="宋体" w:eastAsia="宋体" w:cs="宋体"/>
          <w:b/>
          <w:sz w:val="24"/>
          <w:szCs w:val="24"/>
          <w:highlight w:val="none"/>
          <w:shd w:val="clear" w:color="auto" w:fill="ffffff"/>
          <w:lang w:val="en-US" w:eastAsia="zh-CN" w:bidi="ar-SA"/>
        </w:rPr>
        <w:t xml:space="preserve">注：本项目核心产品：室外感知人像设备</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w:t>
      </w:r>
      <w:r>
        <w:rPr>
          <w:rFonts w:hint="eastAsia" w:ascii="宋体" w:hAnsi="宋体" w:eastAsia="宋体" w:cs="宋体"/>
          <w:b/>
          <w:bCs/>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1.免费质保期</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免费质保期≥3年（招标清单参数中另有规定的，按照参数要求）。自验收合格之日起，开始进入质保期。</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2.验收标准</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（1）产品配置必须原厂出厂时全部自带，所有设备外包装箱不得自行拆封，包装箱上所有标签等不得涂改或撕毁，否则</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有权拒绝验收；</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（2）符合设备本身的规格、技术条件及</w:t>
      </w:r>
      <w:r>
        <w:rPr>
          <w:rFonts w:hint="eastAsia" w:ascii="宋体" w:hAnsi="宋体" w:eastAsia="宋体" w:cs="宋体"/>
          <w:b w:val="0"/>
          <w:bCs w:val="0"/>
          <w:color w:val="000000"/>
          <w:sz w:val="24"/>
          <w:szCs w:val="24"/>
          <w:highlight w:val="none"/>
          <w:lang w:eastAsia="zh-CN"/>
        </w:rPr>
        <w:t xml:space="preserve">中标单位</w:t>
      </w:r>
      <w:r>
        <w:rPr>
          <w:rFonts w:hint="eastAsia" w:ascii="宋体" w:hAnsi="宋体" w:eastAsia="宋体" w:cs="宋体"/>
          <w:b w:val="0"/>
          <w:bCs w:val="0"/>
          <w:color w:val="000000"/>
          <w:sz w:val="24"/>
          <w:szCs w:val="24"/>
          <w:highlight w:val="none"/>
        </w:rPr>
        <w:t xml:space="preserve">承诺的其它指标；</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（3）设备安装后，</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进行质量验收。供应商在验收时需提供所投设备生产厂家盖章的与投标文件一致的技术参数的证明材料（原厂盖章的原件），如无法提供，</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有权拒绝验收。在设备完全正常运转和</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确认后，设备的安装工作才能认为已全部完成。</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3.实施方案</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本项目需配备专业的项目团队并提供明确的货物包装、运输、项目实施等方案以确保本项目能顺利及时地进行与完成。</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4.项目团队</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技术复杂、涉及面较大，为能保证在规定时间内完成项目建设，要求投标人针对本项目配备实施团队：项目经理1名，负责跟踪推进项目工作和问题的协调落实。项目技术负责人1名，负责项目具体实施技术方面工作。项目运维负责人1名，负责项目运维方面工作。除项目经理、项目技术负责人及项目运维负责人外其他实施团队成员不少3人。</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5.故障应急预案</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6.响应时间</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对出现故障在10分钟内响应，2小时以内到现场，8小时以内提出问题解决方案并采取相应措施保障用户正常使用。</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严格遵守服务合约，项目完成以后，如采购人有需要中标人配合的服务，</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应予以配合。</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7.质量要求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8.技术培训</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（1）供应商需提供技术服务热线（7*24小时），负责解答实际使用方在设备使用中遇到的问题，并及时提出解决问题的建议和操作方法；提供7*24小时现场保修和技术支持服务；</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（2）供应商需设立投诉专线，接受实际使用方的投诉；</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（3）供应商需提供系统完整专业的培训计划；</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（4）现场培训：项目安装调试验收结束后，由专业技术工程师进行免费现场技术培训，列出培训计划。</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①基本使操作人员达到能独立进行设备的操作使用；</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②能独立进行设备的日常维护和常见故障的解决。培训费用已包含在设备总价款内。</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六、综合说明及其它要求：</w:t>
      </w:r>
      <w:r/>
    </w:p>
    <w:p>
      <w:pPr>
        <w:ind w:firstLine="480"/>
        <w:keepLines w:val="0"/>
        <w:keepNext w:val="0"/>
        <w:pageBreakBefore w:val="0"/>
        <w:spacing w:line="360" w:lineRule="auto"/>
        <w:widowControl/>
        <w:tabs>
          <w:tab w:val="left" w:pos="360" w:leader="none"/>
          <w:tab w:val="left" w:pos="7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1、投标人按照招标文件的要求提交投标文件，并对所提供的全部资料的真实性承担法律责任。</w:t>
      </w:r>
      <w:r/>
    </w:p>
    <w:p>
      <w:pPr>
        <w:ind w:firstLine="480"/>
        <w:keepLines w:val="0"/>
        <w:keepNext w:val="0"/>
        <w:pageBreakBefore w:val="0"/>
        <w:spacing w:line="360" w:lineRule="auto"/>
        <w:widowControl/>
        <w:tabs>
          <w:tab w:val="left" w:pos="360" w:leader="none"/>
          <w:tab w:val="left" w:pos="7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2、中标单位将根据招标文件、投标文件的相关约定，承担合同责任，履行合同义务。</w:t>
      </w:r>
      <w:r/>
    </w:p>
    <w:p>
      <w:pPr>
        <w:ind w:firstLine="480"/>
        <w:keepLines w:val="0"/>
        <w:keepNext w:val="0"/>
        <w:pageBreakBefore w:val="0"/>
        <w:spacing w:line="360" w:lineRule="auto"/>
        <w:widowControl/>
        <w:tabs>
          <w:tab w:val="left" w:pos="360" w:leader="none"/>
          <w:tab w:val="left" w:pos="7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109"/>
        <w:ind w:left="0" w:firstLine="480"/>
        <w:keepLines w:val="0"/>
        <w:keepNext w:val="0"/>
        <w:pageBreakBefore w:val="0"/>
        <w:spacing w:line="360" w:lineRule="auto"/>
        <w:rPr>
          <w:rFonts w:hint="eastAsia" w:ascii="宋体" w:hAnsi="宋体" w:eastAsia="宋体" w:cs="宋体"/>
          <w:bCs/>
          <w:color w:val="000000"/>
          <w:szCs w:val="24"/>
          <w:highlight w:val="none"/>
        </w:rPr>
      </w:pPr>
      <w:r>
        <w:rPr>
          <w:rFonts w:hint="eastAsia" w:ascii="宋体" w:hAnsi="宋体" w:eastAsia="宋体" w:cs="宋体"/>
          <w:color w:val="000000"/>
          <w:szCs w:val="24"/>
          <w:highlight w:val="none"/>
        </w:rPr>
        <w:t xml:space="preserve">4、</w:t>
      </w:r>
      <w:r>
        <w:rPr>
          <w:rFonts w:hint="eastAsia" w:ascii="宋体" w:hAnsi="宋体" w:eastAsia="宋体" w:cs="宋体"/>
          <w:bCs/>
          <w:color w:val="000000"/>
          <w:szCs w:val="24"/>
          <w:highlight w:val="none"/>
        </w:rPr>
        <w:t xml:space="preserve">投标人应对采购的全部内容响应，总报价</w:t>
      </w:r>
      <w:r>
        <w:rPr>
          <w:rFonts w:hint="eastAsia" w:hAnsi="宋体" w:eastAsia="宋体" w:cs="宋体"/>
          <w:sz w:val="24"/>
          <w:szCs w:val="22"/>
          <w:highlight w:val="none"/>
        </w:rPr>
        <w:t xml:space="preserve">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rPr>
          <w:rFonts w:hint="eastAsia" w:ascii="宋体" w:hAnsi="宋体" w:eastAsia="宋体" w:cs="宋体"/>
          <w:bCs/>
          <w:color w:val="000000"/>
          <w:szCs w:val="24"/>
          <w:highlight w:val="none"/>
        </w:rPr>
        <w:t xml:space="preserve">。</w:t>
      </w:r>
      <w:r/>
    </w:p>
    <w:p>
      <w:pPr>
        <w:ind w:left="0" w:firstLine="420"/>
        <w:keepLines w:val="0"/>
        <w:keepNext w:val="0"/>
        <w:pageBreakBefore w:val="0"/>
        <w:spacing w:line="360" w:lineRule="auto"/>
        <w:widowControl w:val="off"/>
        <w:tabs>
          <w:tab w:val="left" w:pos="0" w:leader="none"/>
        </w:tabs>
        <w:rPr>
          <w:rFonts w:hint="eastAsia" w:eastAsia="宋体"/>
          <w:lang w:val="en-US" w:eastAsia="zh-CN"/>
        </w:rPr>
      </w:pPr>
      <w:r>
        <w:rPr>
          <w:rFonts w:hint="eastAsia" w:ascii="宋体" w:hAnsi="宋体" w:eastAsia="宋体" w:cs="宋体"/>
          <w:bCs/>
          <w:color w:val="000000"/>
          <w:sz w:val="24"/>
          <w:szCs w:val="24"/>
          <w:highlight w:val="none"/>
          <w:lang w:val="en-US" w:eastAsia="zh-CN" w:bidi="ar-SA"/>
        </w:rPr>
        <w:t xml:space="preserve">5、投标人提供的所有产品应符合技术要求条款中所列规格、参数和标准。其质量必须符合产品国家标准或行业标准。项目完成后，由招标人组织相关职能部门或第三方专业检测机构进行验收。招标人根据合同的规定接收货物，在接收时对货物的品种、规格、性能、质量、数量、外观以及配件等进行验收。</w:t>
      </w:r>
      <w:r/>
    </w:p>
    <w:p>
      <w:pPr>
        <w:keepLines w:val="0"/>
        <w:keepNext w:val="0"/>
        <w:pageBreakBefore w:val="0"/>
        <w:spacing w:line="360" w:lineRule="auto"/>
        <w:widowControl/>
        <w:tabs>
          <w:tab w:val="left" w:pos="360" w:leader="none"/>
          <w:tab w:val="left" w:pos="753" w:leader="none"/>
        </w:tabs>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七</w:t>
      </w:r>
      <w:r>
        <w:rPr>
          <w:rFonts w:hint="eastAsia" w:ascii="宋体" w:hAnsi="宋体" w:eastAsia="宋体" w:cs="宋体"/>
          <w:b/>
          <w:sz w:val="24"/>
          <w:szCs w:val="24"/>
          <w:highlight w:val="none"/>
          <w:lang w:val="zh-CN"/>
        </w:rPr>
        <w:t xml:space="preserve">、政府采购政策：</w:t>
      </w:r>
      <w:r/>
    </w:p>
    <w:p>
      <w:pPr>
        <w:ind w:firstLine="482"/>
        <w:keepLines w:val="0"/>
        <w:keepNext w:val="0"/>
        <w:pageBreakBefore w:val="0"/>
        <w:spacing w:line="360" w:lineRule="auto"/>
        <w:rPr>
          <w:rFonts w:hint="eastAsia" w:ascii="宋体" w:hAnsi="宋体" w:eastAsia="宋体" w:cs="宋体"/>
          <w:sz w:val="24"/>
          <w:szCs w:val="24"/>
          <w:highlight w:val="none"/>
        </w:rPr>
      </w:pPr>
      <w:r/>
      <w:bookmarkStart w:id="34" w:name="_Toc1974"/>
      <w:r/>
      <w:bookmarkStart w:id="35" w:name="_Toc396747046"/>
      <w:r/>
      <w:bookmarkStart w:id="36" w:name="_Toc24996"/>
      <w:r/>
      <w:bookmarkStart w:id="37" w:name="_Toc28900"/>
      <w:r>
        <w:rPr>
          <w:rFonts w:hint="eastAsia" w:ascii="宋体" w:hAnsi="宋体" w:eastAsia="宋体" w:cs="宋体"/>
          <w:sz w:val="24"/>
          <w:szCs w:val="24"/>
          <w:highlight w:val="none"/>
        </w:rPr>
        <w:t xml:space="preserve">关于政府采购促进中小企业、残疾人企业和监狱企业的发展政策要求：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根据《政府采购促进中小企业发展管理办法》、《关于做好政府采购支持企业发展有关事项的通</w:t>
      </w:r>
      <w:r>
        <w:rPr>
          <w:rFonts w:hint="eastAsia" w:ascii="宋体" w:hAnsi="宋体" w:eastAsia="宋体" w:cs="宋体"/>
          <w:sz w:val="24"/>
          <w:szCs w:val="24"/>
          <w:highlight w:val="none"/>
        </w:rPr>
        <w:t xml:space="preserve">知》（苏财购〔2020〕52号）、《关于促进残疾人就业政府采购政策的通知》（财库〔2017〕141号）、《关于政府采购支持监狱企业发展有关问题的通知》（财库〔2014〕68号）等文件的精神，对属于小微企业、监狱企业、残疾人企业给予价格评审加分。投标人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在货物采购项目中，货物全部由中小企业制造即可享受中小企业扶持政策，对投标(响应)供应商的企业类型不作要求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在工程和服务采购项目中，工程或者服务由中小企业承建(承接) 即可享受中小企业扶持政策，对采购项目中涉及的货物制造商的 企业类型不作要求。</w:t>
      </w:r>
      <w:r/>
    </w:p>
    <w:p>
      <w:pPr>
        <w:ind w:firstLine="482"/>
        <w:spacing w:line="360" w:lineRule="auto"/>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八、信用记录</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（1）查询时间：投标文件提交截止时间。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查询渠道：统一登录苏州政府采购交易管理平台的“信用查询”系统查询供应商的信用记录。苏州政府采购交易管理平台的“信用查询”系统实时提供来自中国政府采购网、信用中国、信用江苏、诚信苏州网站的相关主体信用记录。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（一）政府采购严重违法记录，即供应商被全国各级财政部门列入“政府采购严重违法失信行为记录名单”，且在处罚有效期内的。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（二）财政部门与法院、工商、税务等部门联合惩戒的失信信息，包括：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（1）被列入失信被执行人名单； </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（2）被列入重大税收违法案件当事人名单； </w:t>
      </w:r>
      <w:r/>
    </w:p>
    <w:p>
      <w:pPr>
        <w:ind w:firstLine="480"/>
        <w:jc w:val="left"/>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九、凡涉及招标文件的补充说明和修改，均以</w:t>
      </w:r>
      <w:r>
        <w:rPr>
          <w:rFonts w:hint="eastAsia" w:ascii="宋体" w:hAnsi="宋体" w:eastAsia="宋体" w:cs="宋体"/>
          <w:b/>
          <w:bCs/>
          <w:sz w:val="24"/>
          <w:szCs w:val="24"/>
          <w:highlight w:val="none"/>
        </w:rPr>
        <w:t xml:space="preserve">江苏省政府采购网</w:t>
      </w:r>
      <w:r>
        <w:rPr>
          <w:rFonts w:hint="eastAsia" w:ascii="宋体" w:hAnsi="宋体" w:eastAsia="宋体" w:cs="宋体"/>
          <w:b/>
          <w:bCs/>
          <w:sz w:val="24"/>
          <w:szCs w:val="24"/>
          <w:highlight w:val="none"/>
          <w:lang w:val="en-US" w:eastAsia="zh-CN"/>
        </w:rPr>
        <w:t xml:space="preserve">与</w:t>
      </w:r>
      <w:r>
        <w:rPr>
          <w:rFonts w:hint="eastAsia" w:ascii="宋体" w:hAnsi="宋体" w:eastAsia="宋体" w:cs="宋体"/>
          <w:b/>
          <w:sz w:val="24"/>
          <w:szCs w:val="24"/>
          <w:highlight w:val="none"/>
        </w:rPr>
        <w:t xml:space="preserve">苏州市政府采购网最新信息为准。</w:t>
      </w:r>
      <w:r/>
    </w:p>
    <w:p>
      <w:pPr>
        <w:pStyle w:val="1230"/>
        <w:rPr>
          <w:rFonts w:hint="eastAsia" w:ascii="宋体" w:hAnsi="宋体" w:eastAsia="宋体" w:cs="宋体"/>
          <w:sz w:val="24"/>
          <w:szCs w:val="24"/>
          <w:highlight w:val="non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jc w:val="center"/>
        <w:rPr>
          <w:rFonts w:hint="eastAsia" w:ascii="宋体" w:hAnsi="宋体" w:eastAsia="宋体" w:cs="宋体"/>
          <w:b/>
          <w:sz w:val="28"/>
          <w:szCs w:val="28"/>
          <w:highlight w:val="none"/>
        </w:rPr>
        <w:outlineLvl w:val="0"/>
      </w:pPr>
      <w:r/>
      <w:bookmarkStart w:id="38" w:name="_Toc5706"/>
      <w:r>
        <w:rPr>
          <w:rFonts w:hint="eastAsia" w:ascii="宋体" w:hAnsi="宋体" w:eastAsia="宋体" w:cs="宋体"/>
          <w:b/>
          <w:sz w:val="36"/>
          <w:szCs w:val="36"/>
          <w:highlight w:val="none"/>
        </w:rPr>
        <w:t xml:space="preserve">第五章 合同主要条款</w:t>
      </w:r>
      <w:bookmarkEnd w:id="34"/>
      <w:r/>
      <w:bookmarkEnd w:id="35"/>
      <w:r/>
      <w:bookmarkEnd w:id="36"/>
      <w:r/>
      <w:bookmarkEnd w:id="37"/>
      <w:r/>
      <w:bookmarkEnd w:id="38"/>
      <w:r/>
      <w:bookmarkEnd w:id="3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numPr>
          <w:ilvl w:val="0"/>
          <w:numId w:val="0"/>
        </w:numPr>
        <w:rPr>
          <w:rFonts w:hint="eastAsia" w:ascii="宋体" w:hAnsi="宋体" w:eastAsia="宋体" w:cs="宋体"/>
          <w:sz w:val="24"/>
          <w:szCs w:val="24"/>
        </w:rPr>
      </w:pPr>
      <w:r/>
      <w:bookmarkStart w:id="39" w:name="_Toc13889378"/>
      <w:r/>
      <w:bookmarkStart w:id="40" w:name="_Toc13642118"/>
      <w:r/>
      <w:bookmarkStart w:id="41" w:name="_Toc24048"/>
      <w:r/>
      <w:bookmarkStart w:id="42" w:name="_Toc9614"/>
      <w:r/>
      <w:r/>
    </w:p>
    <w:tbl>
      <w:tblPr>
        <w:tblStyle w:val="918"/>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389"/>
        <w:gridCol w:w="4559"/>
      </w:tblGrid>
      <w:tr>
        <w:trPr>
          <w:jc w:val="center"/>
          <w:trHeight w:val="879"/>
        </w:trPr>
        <w:tc>
          <w:tcPr>
            <w:tcW w:w="2452" w:type="pct"/>
            <w:vAlign w:val="center"/>
            <w:textDirection w:val="lrTb"/>
            <w:noWrap w:val="false"/>
          </w:tcPr>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甲方（采购人）：</w:t>
            </w:r>
            <w:r/>
          </w:p>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联系人：</w:t>
            </w:r>
            <w:r/>
          </w:p>
        </w:tc>
        <w:tc>
          <w:tcPr>
            <w:tcW w:w="2547" w:type="pct"/>
            <w:vAlign w:val="center"/>
            <w:textDirection w:val="lrTb"/>
            <w:noWrap w:val="false"/>
          </w:tcPr>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单位地址：</w:t>
            </w:r>
            <w:r/>
          </w:p>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p>
        </w:tc>
      </w:tr>
      <w:tr>
        <w:trPr>
          <w:jc w:val="center"/>
          <w:trHeight w:val="1096"/>
        </w:trPr>
        <w:tc>
          <w:tcPr>
            <w:tcW w:w="2452" w:type="pct"/>
            <w:vAlign w:val="center"/>
            <w:textDirection w:val="lrTb"/>
            <w:noWrap w:val="false"/>
          </w:tcPr>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乙方（供应商）：</w:t>
            </w:r>
            <w:r/>
          </w:p>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联系人：</w:t>
            </w:r>
            <w:r/>
          </w:p>
        </w:tc>
        <w:tc>
          <w:tcPr>
            <w:tcW w:w="2547" w:type="pct"/>
            <w:vAlign w:val="center"/>
            <w:textDirection w:val="lrTb"/>
            <w:noWrap w:val="false"/>
          </w:tcPr>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单位地址：</w:t>
            </w:r>
            <w:r/>
          </w:p>
          <w:p>
            <w:pPr>
              <w:spacing w:before="100" w:beforeAutospacing="1" w:after="100" w:afterAutospacing="1"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p>
        </w:tc>
      </w:tr>
    </w:tbl>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一、定义：以下术语有特定的含义：</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合同价是指根据中标的投标文件和合同规定，乙方在正确地履行合同义务后甲方应支付给乙方的价款。</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甲方是指合同中明确规定的实际购买货物和接受服务的单位。</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乙方是指合同中规定的提供货物和提供服务的单位。</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二、合同标的：</w:t>
      </w:r>
      <w:r/>
    </w:p>
    <w:tbl>
      <w:tblPr>
        <w:tblStyle w:val="9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2"/>
        <w:gridCol w:w="2048"/>
        <w:gridCol w:w="1161"/>
        <w:gridCol w:w="1249"/>
        <w:gridCol w:w="1249"/>
        <w:gridCol w:w="1249"/>
        <w:gridCol w:w="1249"/>
      </w:tblGrid>
      <w:tr>
        <w:trPr/>
        <w:tc>
          <w:tcPr>
            <w:tcW w:w="305"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71"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货物（服务）名称</w:t>
            </w:r>
            <w:r/>
          </w:p>
        </w:tc>
        <w:tc>
          <w:tcPr>
            <w:tcW w:w="664"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714"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14"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交货期限</w:t>
            </w:r>
            <w:r/>
          </w:p>
        </w:tc>
        <w:tc>
          <w:tcPr>
            <w:tcW w:w="714"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综合单价</w:t>
            </w:r>
            <w:r>
              <w:rPr>
                <w:rFonts w:hint="eastAsia" w:ascii="宋体" w:hAnsi="宋体" w:eastAsia="宋体" w:cs="宋体"/>
                <w:sz w:val="24"/>
                <w:szCs w:val="24"/>
              </w:rPr>
              <w:t xml:space="preserve">(元)</w:t>
            </w:r>
            <w:r/>
          </w:p>
        </w:tc>
        <w:tc>
          <w:tcPr>
            <w:tcW w:w="714" w:type="pct"/>
            <w:textDirection w:val="lrTb"/>
            <w:noWrap w:val="false"/>
          </w:tcPr>
          <w:p>
            <w:pPr>
              <w:ind w:left="0"/>
              <w:jc w:val="center"/>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小计金额（元）</w:t>
            </w:r>
            <w:r/>
          </w:p>
        </w:tc>
      </w:tr>
      <w:tr>
        <w:trPr/>
        <w:tc>
          <w:tcPr>
            <w:tcW w:w="305"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71"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6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05"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171"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6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05"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171"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6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05" w:type="pct"/>
            <w:textDirection w:val="lrTb"/>
            <w:noWrap w:val="false"/>
          </w:tcPr>
          <w:p>
            <w:pPr>
              <w:ind w:left="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1171"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6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14" w:type="pct"/>
            <w:textDirection w:val="lrTb"/>
            <w:noWrap w:val="false"/>
          </w:tcPr>
          <w:p>
            <w:pPr>
              <w:ind w:left="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三、合同价款：</w:t>
      </w:r>
      <w:r>
        <w:rPr>
          <w:rFonts w:hint="eastAsia" w:ascii="宋体" w:hAnsi="宋体" w:eastAsia="宋体" w:cs="宋体"/>
          <w:b/>
          <w:sz w:val="24"/>
          <w:szCs w:val="24"/>
          <w:lang w:eastAsia="zh-CN"/>
        </w:rPr>
        <w:t xml:space="preserve">暂定</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合同价款范围：合同总价应包括完</w:t>
      </w:r>
      <w:r>
        <w:rPr>
          <w:rFonts w:hint="eastAsia" w:ascii="宋体" w:hAnsi="宋体" w:eastAsia="宋体" w:cs="宋体"/>
          <w:sz w:val="24"/>
          <w:szCs w:val="24"/>
          <w:highlight w:val="none"/>
        </w:rPr>
        <w:t xml:space="preserve">成设备的供应、安装、调试、总包管理、施工配合以及最长质保期内的维修、保养等招标内容所需的所有设备、材料、验收、劳务、服务等应有费用；中华人民共和国根据现行税法征收的与本合同有关的一切税费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全部费用由乙方承担，甲方不再支付报价之外的任何费用。</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对于甲方在招标文件中所要求的及乙方在投标文件和合同中所承诺提</w:t>
      </w:r>
      <w:r>
        <w:rPr>
          <w:rFonts w:hint="eastAsia" w:ascii="宋体" w:hAnsi="宋体" w:eastAsia="宋体" w:cs="宋体"/>
          <w:sz w:val="24"/>
          <w:szCs w:val="24"/>
        </w:rPr>
        <w:t xml:space="preserve">供的功能，乙方应无条件提供，由于设计及其他原因所造成的额外费用由乙方自行承担。</w:t>
      </w:r>
      <w:r/>
    </w:p>
    <w:p>
      <w:pPr>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四、交货地点、时间、方式：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1.交货地点：乙方交货至甲方指定地点，所发生的运输等费用及货物的损坏造成的损失由乙方承担。</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2.交货时间： </w:t>
      </w:r>
      <w:r/>
    </w:p>
    <w:p>
      <w:p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3.交货方式：</w:t>
      </w:r>
      <w:r>
        <w:rPr>
          <w:rFonts w:hint="eastAsia" w:ascii="宋体" w:hAnsi="宋体" w:eastAsia="宋体" w:cs="宋体"/>
          <w:sz w:val="24"/>
          <w:szCs w:val="24"/>
          <w:highlight w:val="none"/>
        </w:rPr>
        <w:t xml:space="preserve">乙方负责将货物安全完好运抵交货地点、安装调试并保证验收合格。</w:t>
      </w:r>
      <w:r/>
    </w:p>
    <w:p>
      <w:pPr>
        <w:ind w:left="0"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五、付款方式：</w:t>
      </w:r>
      <w:r/>
    </w:p>
    <w:p>
      <w:pPr>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1.付款步骤：</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验收合格后付至合同价(指已扣除未实施部分的合同价，以下同)的70%,审计结束后付至审定金额的90%,竣工验收合格之日算起满一年后付清余款。</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支付方式：银行汇票或转账支票。乙方账户信息如下：</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六、验收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1.乙方提交的货物由甲方负责验收。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七、保修期：</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本项目经甲方验收合格后，乙方将</w:t>
      </w:r>
      <w:r>
        <w:rPr>
          <w:rFonts w:hint="eastAsia" w:ascii="宋体" w:hAnsi="宋体" w:eastAsia="宋体" w:cs="宋体"/>
          <w:color w:val="auto"/>
          <w:sz w:val="24"/>
          <w:szCs w:val="24"/>
        </w:rPr>
        <w:t xml:space="preserve">提</w:t>
      </w:r>
      <w:r>
        <w:rPr>
          <w:rFonts w:hint="eastAsia" w:ascii="宋体" w:hAnsi="宋体" w:eastAsia="宋体" w:cs="宋体"/>
          <w:color w:val="auto"/>
          <w:sz w:val="24"/>
          <w:szCs w:val="24"/>
          <w:highlight w:val="none"/>
        </w:rPr>
        <w:t xml:space="preserve">供</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年质量保证期。质量保证期内，</w:t>
      </w:r>
      <w:r>
        <w:rPr>
          <w:rFonts w:hint="eastAsia" w:ascii="宋体" w:hAnsi="宋体" w:eastAsia="宋体" w:cs="宋体"/>
          <w:sz w:val="24"/>
          <w:szCs w:val="24"/>
        </w:rPr>
        <w:t xml:space="preserve">乙方负责对其提供的货物实行免费维修。</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八、伴随服务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1.乙方应提供所交付货物的全套技术文件资料，包括产品目录、软件备份、图纸、操作手册、使用说明、维护手册和服务指南等。</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3.上述伴随服务的费用应包含在合同价中，不单独进行支付。</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4.货物的包装、储运、安装按国家有关规定执行。</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九、质量保证</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十、索赔</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（2）根据货物低劣、损坏程度以及甲方所遭受损失的金额，经双方商定降低货物的价格。</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十一、履约延误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十二、误期赔偿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2.误期赔偿费可从应付货款中扣除。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3.收取误期赔偿费不影响甲方采取合同规定的其他补救措施的权利。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十三、不可抗力</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十四、争端的解决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2.如果调解不成，双方中的任何一方可向人民法院提起诉讼。诉讼由合同签订地人民法院管辖。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3.诉讼费由败诉方负担。</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4.因合同部分履行引发诉讼的，在诉讼期间，除正在进行诉讼的部分外，本合同的其它部分应继续执行。 </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十五、违约终止合同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（1）如果乙方未能在合同规定的限期或甲方同意延长的限期内提供部分或全部货物和服务。</w:t>
      </w:r>
      <w:r/>
    </w:p>
    <w:p>
      <w:pPr>
        <w:ind w:left="0" w:firstLine="20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（2）如果乙方未能履行合同规定的其它任何义务。 </w:t>
      </w:r>
      <w:r/>
    </w:p>
    <w:p>
      <w:pPr>
        <w:ind w:left="0" w:firstLine="20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3.如果甲方违约，应承担相应的违约责任。 </w:t>
      </w:r>
      <w:r/>
    </w:p>
    <w:p>
      <w:pPr>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十六、破产终止合同：</w:t>
      </w:r>
      <w:r>
        <w:rPr>
          <w:rFonts w:hint="eastAsia" w:ascii="宋体" w:hAnsi="宋体" w:eastAsia="宋体" w:cs="宋体"/>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十八、合同转让和分包：</w:t>
      </w:r>
      <w:r>
        <w:rPr>
          <w:rFonts w:hint="eastAsia" w:ascii="宋体" w:hAnsi="宋体" w:eastAsia="宋体" w:cs="宋体"/>
          <w:sz w:val="24"/>
          <w:szCs w:val="24"/>
        </w:rPr>
        <w:t xml:space="preserve">本项目不得转包、分包。</w:t>
      </w:r>
      <w:r/>
    </w:p>
    <w:p>
      <w:pPr>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十九、需要补充的合同条款：</w:t>
      </w:r>
      <w:r>
        <w:rPr>
          <w:rFonts w:hint="eastAsia" w:ascii="宋体" w:hAnsi="宋体" w:eastAsia="宋体" w:cs="宋体"/>
          <w:sz w:val="24"/>
          <w:szCs w:val="24"/>
        </w:rPr>
        <w:t xml:space="preserve">（根据评标过程中或者商务谈判时商定的条款和条件在订立合同时标明）。</w:t>
      </w:r>
      <w:r/>
    </w:p>
    <w:p>
      <w:pPr>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二十、合同生效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1.双方签约人为各自法定代表人或被授权代表。</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3.本合同自甲乙双方签字盖章之日起生效。</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4.本合同壹式</w:t>
      </w:r>
      <w:r>
        <w:rPr>
          <w:rFonts w:hint="eastAsia" w:ascii="宋体" w:hAnsi="宋体" w:eastAsia="宋体" w:cs="宋体"/>
          <w:sz w:val="24"/>
          <w:szCs w:val="24"/>
          <w:lang w:eastAsia="zh-CN"/>
        </w:rPr>
        <w:t xml:space="preserve">陆</w:t>
      </w:r>
      <w:r>
        <w:rPr>
          <w:rFonts w:hint="eastAsia" w:ascii="宋体" w:hAnsi="宋体" w:eastAsia="宋体" w:cs="宋体"/>
          <w:sz w:val="24"/>
          <w:szCs w:val="24"/>
        </w:rPr>
        <w:t xml:space="preserve">份，甲乙双方各执</w:t>
      </w:r>
      <w:r>
        <w:rPr>
          <w:rFonts w:hint="eastAsia" w:ascii="宋体" w:hAnsi="宋体" w:eastAsia="宋体" w:cs="宋体"/>
          <w:b/>
          <w:sz w:val="24"/>
          <w:szCs w:val="24"/>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招标代理壹份，监管部门壹份。</w:t>
      </w:r>
      <w:r>
        <w:rPr>
          <w:rFonts w:hint="eastAsia" w:ascii="宋体" w:hAnsi="宋体" w:eastAsia="宋体" w:cs="宋体"/>
          <w:sz w:val="24"/>
          <w:szCs w:val="24"/>
        </w:rPr>
        <w:t xml:space="preserve">各份具有同等法律效力。</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6.合同修改：除甲乙双方签署书面修改、补充协议，并成为本合同不可分割的一部分之外，本合同条件不得有任何变化或修改。</w:t>
      </w:r>
      <w:r/>
    </w:p>
    <w:p>
      <w:pPr>
        <w:rPr>
          <w:rFonts w:hint="eastAsia" w:ascii="宋体" w:hAnsi="宋体" w:eastAsia="宋体" w:cs="宋体"/>
          <w:sz w:val="24"/>
          <w:szCs w:val="24"/>
        </w:rPr>
      </w:pPr>
      <w:r>
        <w:rPr>
          <w:rFonts w:hint="eastAsia" w:ascii="宋体" w:hAnsi="宋体" w:eastAsia="宋体" w:cs="宋体"/>
          <w:sz w:val="24"/>
          <w:szCs w:val="24"/>
        </w:rPr>
      </w:r>
      <w:r/>
    </w:p>
    <w:tbl>
      <w:tblPr>
        <w:tblStyle w:val="918"/>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535"/>
        <w:gridCol w:w="4411"/>
      </w:tblGrid>
      <w:tr>
        <w:trPr>
          <w:trHeight w:val="370"/>
        </w:trPr>
        <w:tc>
          <w:tcPr>
            <w:tcW w:w="2534" w:type="pct"/>
            <w:vAlign w:val="center"/>
            <w:textDirection w:val="lrTb"/>
            <w:noWrap w:val="false"/>
          </w:tcPr>
          <w:p>
            <w:pPr>
              <w:spacing w:line="48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甲方（盖章）：</w:t>
            </w:r>
            <w:r/>
          </w:p>
        </w:tc>
        <w:tc>
          <w:tcPr>
            <w:tcW w:w="2465" w:type="pct"/>
            <w:vAlign w:val="center"/>
            <w:textDirection w:val="lrTb"/>
            <w:noWrap w:val="false"/>
          </w:tcPr>
          <w:p>
            <w:pPr>
              <w:spacing w:line="48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乙方（盖章）：</w:t>
            </w:r>
            <w:r/>
          </w:p>
        </w:tc>
      </w:tr>
      <w:tr>
        <w:trPr>
          <w:trHeight w:val="371"/>
        </w:trPr>
        <w:tc>
          <w:tcPr>
            <w:tcW w:w="2534" w:type="pct"/>
            <w:vAlign w:val="center"/>
            <w:textDirection w:val="lrTb"/>
            <w:noWrap w:val="false"/>
          </w:tcPr>
          <w:p>
            <w:pPr>
              <w:spacing w:line="48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法定（授权）代表人（签字）：</w:t>
            </w:r>
            <w:r/>
          </w:p>
        </w:tc>
        <w:tc>
          <w:tcPr>
            <w:tcW w:w="2465" w:type="pct"/>
            <w:vAlign w:val="center"/>
            <w:textDirection w:val="lrTb"/>
            <w:noWrap w:val="false"/>
          </w:tcPr>
          <w:p>
            <w:pPr>
              <w:spacing w:line="48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法定（授权）代表人（签字）：     </w:t>
            </w:r>
            <w:r/>
          </w:p>
        </w:tc>
      </w:tr>
      <w:tr>
        <w:trPr>
          <w:trHeight w:val="373"/>
        </w:trPr>
        <w:tc>
          <w:tcPr>
            <w:tcW w:w="2534" w:type="pct"/>
            <w:vAlign w:val="center"/>
            <w:textDirection w:val="lrTb"/>
            <w:noWrap w:val="false"/>
          </w:tcPr>
          <w:p>
            <w:pPr>
              <w:spacing w:line="48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w:t>
            </w:r>
            <w:r/>
          </w:p>
        </w:tc>
        <w:tc>
          <w:tcPr>
            <w:tcW w:w="2465" w:type="pct"/>
            <w:vAlign w:val="center"/>
            <w:textDirection w:val="lrTb"/>
            <w:noWrap w:val="false"/>
          </w:tcPr>
          <w:p>
            <w:pPr>
              <w:spacing w:line="48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w:t>
            </w:r>
            <w:r/>
          </w:p>
        </w:tc>
      </w:tr>
    </w:tbl>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br w:type="page" w:clear="all"/>
      </w:r>
      <w:bookmarkStart w:id="43" w:name="_Toc28"/>
      <w:r/>
      <w:bookmarkStart w:id="44" w:name="_Toc4083"/>
      <w:r>
        <w:rPr>
          <w:rFonts w:hint="eastAsia" w:ascii="宋体" w:hAnsi="宋体" w:eastAsia="宋体" w:cs="宋体"/>
          <w:b/>
          <w:sz w:val="36"/>
          <w:szCs w:val="36"/>
          <w:highlight w:val="none"/>
        </w:rPr>
        <w:t xml:space="preserve">第六章 评分</w:t>
      </w:r>
      <w:bookmarkEnd w:id="39"/>
      <w:r/>
      <w:bookmarkEnd w:id="40"/>
      <w:r>
        <w:rPr>
          <w:rFonts w:hint="eastAsia" w:ascii="宋体" w:hAnsi="宋体" w:eastAsia="宋体" w:cs="宋体"/>
          <w:b/>
          <w:sz w:val="36"/>
          <w:szCs w:val="36"/>
          <w:highlight w:val="none"/>
        </w:rPr>
        <w:t xml:space="preserve">标准</w:t>
      </w:r>
      <w:bookmarkEnd w:id="41"/>
      <w:r/>
      <w:bookmarkEnd w:id="42"/>
      <w:r/>
      <w:bookmarkEnd w:id="43"/>
      <w:r/>
      <w:bookmarkEnd w:id="44"/>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一、评标办法：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4"/>
          <w:szCs w:val="24"/>
          <w:highlight w:val="none"/>
        </w:rPr>
        <w:t xml:space="preserve">非单一产品采购项目，多家投标人提供的核心产品品牌相同的，按照此规定处理。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5.针对中小型企业、残疾人福利企业和监狱企业的评审：</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根据《政府采购促进中小企业发展管理办法》（财库〔2020〕46号）、《关于促进残疾人就业政府采购</w:t>
      </w:r>
      <w:r>
        <w:rPr>
          <w:rFonts w:hint="eastAsia" w:ascii="宋体" w:hAnsi="宋体" w:eastAsia="宋体" w:cs="宋体"/>
          <w:bCs/>
          <w:sz w:val="24"/>
          <w:szCs w:val="24"/>
          <w:highlight w:val="none"/>
        </w:rPr>
        <w:t xml:space="preserve">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二、评分标准：</w:t>
      </w:r>
      <w:r/>
    </w:p>
    <w:p>
      <w:pPr>
        <w:ind w:firstLine="24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本次采购的评标方法采用综合评分法，总分值为100分。</w:t>
      </w:r>
      <w:r/>
    </w:p>
    <w:p>
      <w:pPr>
        <w:ind w:firstLine="463"/>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（一）价格分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30分</w:t>
      </w:r>
      <w:r>
        <w:rPr>
          <w:rFonts w:hint="eastAsia" w:ascii="宋体" w:hAnsi="宋体" w:eastAsia="宋体" w:cs="宋体"/>
          <w:b/>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rPr>
      </w:pPr>
      <w:r/>
      <w:bookmarkStart w:id="45" w:name="OLE_LINK8"/>
      <w:r>
        <w:rPr>
          <w:rFonts w:hint="eastAsia" w:ascii="宋体" w:hAnsi="宋体" w:eastAsia="宋体" w:cs="宋体"/>
          <w:bCs/>
          <w:sz w:val="24"/>
          <w:szCs w:val="24"/>
          <w:highlight w:val="none"/>
        </w:rPr>
        <w:t xml:space="preserve">1、投标报价低于或等于预算价格（或最高限价）的，为有效投标报价。超</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预算（或最高限价）的投标报价为无效投标报价。</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2、在所有有效投标报价中满足招标文件要求，且投标价格最低的投标报价为评标基准价，其他</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投标人的价格分按照下列公式计算（计算结果四舍五入保留两位小数）。</w:t>
      </w:r>
      <w:bookmarkStart w:id="46" w:name="_GoBack"/>
      <w:r/>
      <w:bookmarkEnd w:id="46"/>
      <w:r>
        <w:rPr>
          <w:rFonts w:hint="eastAsia" w:ascii="宋体" w:hAnsi="宋体" w:eastAsia="宋体" w:cs="宋体"/>
          <w:bCs/>
          <w:sz w:val="24"/>
          <w:szCs w:val="24"/>
          <w:highlight w:val="none"/>
        </w:rPr>
        <w:t xml:space="preserve">投标报价得分＝（评标基准价/投标报价）×30％×100</w:t>
      </w:r>
      <w:bookmarkEnd w:id="45"/>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技术指标符合性（</w:t>
      </w:r>
      <w:r>
        <w:rPr>
          <w:rFonts w:hint="eastAsia" w:ascii="宋体" w:hAnsi="宋体" w:eastAsia="宋体" w:cs="宋体"/>
          <w:b/>
          <w:bCs/>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分）</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投标单位需就采购需求中注“★”的技术指标进行应答，符合或优于招标文件要求的，每一项得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分，共</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项，最高得</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带“★”项需提供以下任意一项证明材料,1.国家认可的第三方检测机构出具的合格检验报告书复印件并加盖投标单位公章；2.功能官网截图和链接相关证明材料复印件并加盖投标单位公章；3.其他可证明该项技术参数的相关资料复印件并加盖投标单位公章。否则本项不得分</w:t>
      </w:r>
      <w:r/>
    </w:p>
    <w:p>
      <w:pPr>
        <w:ind w:left="0"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（二）项目技术及服务方案（</w:t>
      </w:r>
      <w:r>
        <w:rPr>
          <w:rFonts w:hint="eastAsia" w:ascii="宋体" w:hAnsi="宋体" w:eastAsia="宋体" w:cs="宋体"/>
          <w:b/>
          <w:bCs/>
          <w:sz w:val="24"/>
          <w:szCs w:val="24"/>
          <w:highlight w:val="none"/>
          <w:lang w:val="en-US" w:eastAsia="zh-CN"/>
        </w:rPr>
        <w:t xml:space="preserve">37</w:t>
      </w:r>
      <w:r>
        <w:rPr>
          <w:rFonts w:hint="eastAsia" w:ascii="宋体" w:hAnsi="宋体" w:eastAsia="宋体" w:cs="宋体"/>
          <w:b/>
          <w:bCs/>
          <w:sz w:val="24"/>
          <w:szCs w:val="24"/>
          <w:highlight w:val="none"/>
        </w:rPr>
        <w:t xml:space="preserve">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1、项目理解及技术方案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响应单位对项目理解及技术方案理解程度等情况熟悉度较高，各方面了解详细且理解较深刻的得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分；对情况基本了解，理解需求比较全面的得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分；对系统情况了解较差，无法全面理解需求的得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分；未提供不得分。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2、售后服务方案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根据流程图的详细程度打分，方案内容全面、详细、可行性高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分；方案内容较全面、详细、可行性较高的得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分；方案内容不够全面、详细、可行性较差的得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分；未提供不得分。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3、系统巡检方案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包括但不限于定期巡检服务内容、巡检维护台账的式样、巡检专用工具和专用车辆、依托于数字运维系统等，方案内容全面、详细、可行性高的得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分；方案内容较全面、详细、可行性较高的得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分；方案内容不够全面、详细、可行性较差的得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分；未提供不得分。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4、应急保障方案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投标单位根据本项目制定的应急保障方案，包括响应时间、故障处理、应急方案等进行评分；综合评定方案优秀、内容详细、完善可行、科学合理、流程规范的得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分；综合评定方案良好、内容比较详细、可行性较强、合理性较强、流程规范性较好的得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分；综合评定方案不够合理、详细性较差、可行性较差、合理性较差、流程规范程度较差得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分；未提供不得分。</w:t>
      </w:r>
      <w:r/>
    </w:p>
    <w:p>
      <w:p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5、培训方案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投标单位根据本项目需要制定的具体的培训方案。综合评定方案优秀、内容详细、完善可行、科学合理、流程规范的得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分；综合评定方案良好、内容比较详细、可行性较强、合理性较强、流程规范性较好的得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分；综合评定方案不够合理、详细性较差、可行性较差、合理性较差、流程规范程度较差得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分；未提供不</w:t>
      </w:r>
      <w:r>
        <w:rPr>
          <w:rFonts w:hint="eastAsia" w:ascii="宋体" w:hAnsi="宋体" w:eastAsia="宋体" w:cs="宋体"/>
          <w:sz w:val="24"/>
          <w:szCs w:val="24"/>
          <w:highlight w:val="none"/>
        </w:rPr>
        <w:t xml:space="preserve">得分。</w:t>
      </w:r>
      <w:r/>
    </w:p>
    <w:p>
      <w:pPr>
        <w:ind w:left="0"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（四）针对本项目配备人员情况（</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投标单位拟派项目经理具有注册信息安全专业人员（CISP）证书、通信专业技术人员职业水平证书、CISAW信息安全保障人员证书的，每提供一个得1分，最高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投标单位拟派项目技术负责人具有网络规划设计师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rPr>
        <w:t xml:space="preserve">系统集成项目管理工程师、</w:t>
      </w:r>
      <w:r>
        <w:rPr>
          <w:rFonts w:hint="eastAsia" w:ascii="宋体" w:hAnsi="宋体" w:eastAsia="宋体" w:cs="宋体"/>
          <w:color w:val="auto"/>
          <w:sz w:val="24"/>
          <w:szCs w:val="24"/>
          <w:highlight w:val="none"/>
        </w:rPr>
        <w:t xml:space="preserve">中级及以上通信工程师职称的，每提供一个得1分，最高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投标单位拟派项目运维负责人具有网络工程师、系统分析师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系统集成项目管理工程师，每提供一份得1分，最高得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left="0"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（五）响应单位综合能力（</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投标单位具有质量管理体系认证证书、环境管理体系认证证书、职业健康安全管理体系认证证书</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每提供一个得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分。（投标文件中须提供相关认证证书扫描件并加盖公章及该证书在中国国家认证认可监督管理委员会网站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"http://www.cnca.gov.cn/"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http://www.cnca.gov.cn/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上查询的页面截图，未提供或提供不全的不得分）</w:t>
      </w:r>
      <w:r/>
    </w:p>
    <w:p>
      <w:pPr>
        <w:ind w:left="0"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投标单位具有</w:t>
      </w:r>
      <w:r>
        <w:rPr>
          <w:rFonts w:hint="eastAsia" w:ascii="宋体" w:hAnsi="宋体" w:eastAsia="宋体" w:cs="宋体"/>
          <w:sz w:val="24"/>
          <w:szCs w:val="24"/>
          <w:highlight w:val="none"/>
          <w:lang w:val="zh-CN"/>
        </w:rPr>
        <w:t xml:space="preserve">ITSS信息技术服务运行维护标准符合性证书</w:t>
      </w:r>
      <w:r>
        <w:rPr>
          <w:rFonts w:hint="eastAsia" w:ascii="宋体" w:hAnsi="宋体" w:eastAsia="宋体" w:cs="宋体"/>
          <w:sz w:val="24"/>
          <w:szCs w:val="24"/>
          <w:highlight w:val="none"/>
        </w:rPr>
        <w:t xml:space="preserve">（数据中心）</w:t>
      </w:r>
      <w:r>
        <w:rPr>
          <w:rFonts w:hint="eastAsia" w:ascii="宋体" w:hAnsi="宋体" w:eastAsia="宋体" w:cs="宋体"/>
          <w:sz w:val="24"/>
          <w:szCs w:val="24"/>
          <w:highlight w:val="none"/>
          <w:lang w:val="zh-CN"/>
        </w:rPr>
        <w:t xml:space="preserve">，二级的得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分；三级及以下的得1分，最高得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p>
    <w:p>
      <w:p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注：投标文件中须提供以上</w:t>
      </w:r>
      <w:r>
        <w:rPr>
          <w:rFonts w:hint="eastAsia" w:ascii="宋体" w:hAnsi="宋体" w:eastAsia="宋体" w:cs="宋体"/>
          <w:sz w:val="24"/>
          <w:szCs w:val="24"/>
          <w:highlight w:val="none"/>
        </w:rPr>
        <w:t xml:space="preserve">证书或证明</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lang w:val="zh-CN"/>
        </w:rPr>
        <w:t xml:space="preserve">并加盖投标人公章，未提供不得分。</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投标单位提供自2022年1月1日起（时间以合同签订日期为准）承担的类似项目业绩案例。每提供一份得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投标文件中需提供完整合同的扫描件，未提供或提供不全不得分。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pStyle w:val="1146"/>
        <w:ind w:left="0" w:firstLine="480"/>
        <w:jc w:val="right"/>
        <w:spacing w:line="4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（全文完）</w:t>
      </w:r>
      <w:r/>
    </w:p>
    <w:sectPr>
      <w:footnotePr/>
      <w:endnotePr/>
      <w:type w:val="nextPage"/>
      <w:pgSz w:w="11906" w:h="16838" w:orient="portrait"/>
      <w:pgMar w:top="1440" w:right="1587" w:bottom="1440" w:left="1587" w:header="851"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alibri">
    <w:panose1 w:val="020F0502020204030204"/>
  </w:font>
  <w:font w:name="Verdana">
    <w:panose1 w:val="020B0604030504040204"/>
  </w:font>
  <w:font w:name="仿宋_GB2312">
    <w:panose1 w:val="02010609060101010101"/>
  </w:font>
  <w:font w:name="黑体">
    <w:panose1 w:val="02010609060101010101"/>
  </w:font>
  <w:font w:name="Courier New">
    <w:panose1 w:val="02070309020205020404"/>
  </w:font>
  <w:font w:name="Tahoma">
    <w:panose1 w:val="020B06040305040402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right="360"/>
      <w:jc w:val="center"/>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right="360"/>
      <w:jc w:val="center"/>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right="360"/>
      <w:jc w:val="center"/>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both"/>
      <w:rPr>
        <w:rFonts w:hint="eastAsia" w:ascii="宋体" w:hAnsi="宋体" w:eastAsia="宋体"/>
        <w:b/>
        <w:bCs/>
        <w:szCs w:val="18"/>
        <w:lang w:eastAsia="zh-CN"/>
      </w:rPr>
    </w:pPr>
    <w:r>
      <w:rPr>
        <w:rFonts w:hint="eastAsia" w:ascii="宋体" w:hAnsi="宋体"/>
        <w:b/>
        <w:bCs/>
        <w:szCs w:val="18"/>
        <w:lang w:eastAsia="zh-CN"/>
      </w:rPr>
      <w:t xml:space="preserve">苏州博思源管理咨询有限公司</w:t>
    </w:r>
    <w:r>
      <w:rPr>
        <w:rFonts w:hint="eastAsia" w:ascii="宋体" w:hAnsi="宋体"/>
        <w:b/>
        <w:bCs/>
        <w:szCs w:val="18"/>
      </w:rPr>
      <w:t xml:space="preserve">                                 </w:t>
    </w:r>
    <w:r>
      <w:rPr>
        <w:rFonts w:hint="eastAsia" w:ascii="宋体" w:hAnsi="宋体"/>
        <w:b/>
        <w:bCs/>
        <w:szCs w:val="18"/>
      </w:rPr>
      <w:t xml:space="preserve">  </w:t>
    </w:r>
    <w:r>
      <w:rPr>
        <w:rFonts w:hint="eastAsia" w:ascii="宋体" w:hAnsi="宋体"/>
        <w:b/>
        <w:bCs/>
        <w:szCs w:val="18"/>
      </w:rPr>
      <w:t xml:space="preserve"> </w:t>
    </w:r>
    <w:r>
      <w:rPr>
        <w:rFonts w:hint="eastAsia" w:ascii="宋体" w:hAnsi="宋体"/>
        <w:b/>
        <w:bCs/>
        <w:szCs w:val="18"/>
        <w:lang w:eastAsia="zh-CN"/>
      </w:rPr>
      <w:t xml:space="preserve">JSZC-320506104-BSYY-G2025-000</w:t>
    </w:r>
    <w:r>
      <w:rPr>
        <w:rFonts w:hint="eastAsia" w:ascii="宋体" w:hAnsi="宋体"/>
        <w:b/>
        <w:bCs/>
        <w:szCs w:val="18"/>
        <w:lang w:eastAsia="zh-CN"/>
      </w:rPr>
      <w:t xml:space="preserve">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both"/>
      <w:rPr>
        <w:rFonts w:hint="eastAsia" w:eastAsia="宋体"/>
        <w:b/>
        <w:bCs/>
        <w:lang w:eastAsia="zh-CN"/>
      </w:rPr>
    </w:pPr>
    <w:r>
      <w:rPr>
        <w:rFonts w:hint="eastAsia" w:ascii="宋体" w:hAnsi="宋体"/>
        <w:b/>
        <w:bCs/>
        <w:szCs w:val="18"/>
        <w:lang w:eastAsia="zh-CN"/>
      </w:rPr>
      <w:t xml:space="preserve">苏州博思源管理咨询有限公司</w:t>
    </w:r>
    <w:r>
      <w:rPr>
        <w:rFonts w:hint="eastAsia" w:ascii="宋体" w:hAnsi="宋体"/>
        <w:b/>
        <w:bCs/>
        <w:szCs w:val="18"/>
      </w:rPr>
      <w:t xml:space="preserve">                                        </w:t>
    </w:r>
    <w:r>
      <w:rPr>
        <w:rFonts w:hint="eastAsia" w:ascii="宋体" w:hAnsi="宋体"/>
        <w:b/>
        <w:bCs/>
        <w:szCs w:val="18"/>
        <w:lang w:eastAsia="zh-CN"/>
      </w:rPr>
      <w:t xml:space="preserve">JSZC-320506104-BSYY-G2025-000</w:t>
    </w:r>
    <w:r>
      <w:rPr>
        <w:rFonts w:hint="eastAsia" w:ascii="宋体" w:hAnsi="宋体"/>
        <w:b/>
        <w:bCs/>
        <w:szCs w:val="18"/>
        <w:lang w:eastAsia="zh-CN"/>
      </w:rPr>
      <w:t xml:space="preserve">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232"/>
    <w:uiPriority w:val="0"/>
    <w:qFormat/>
    <w:pPr>
      <w:jc w:val="both"/>
      <w:widowControl w:val="off"/>
    </w:pPr>
    <w:rPr>
      <w:rFonts w:hint="default" w:ascii="Times New Roman" w:hAnsi="Times New Roman" w:eastAsia="楷体_GB2312" w:cs="Times New Roman"/>
      <w:sz w:val="26"/>
      <w:lang w:val="en-US" w:eastAsia="zh-CN" w:bidi="ar-SA"/>
    </w:rPr>
  </w:style>
  <w:style w:type="paragraph" w:styleId="908">
    <w:name w:val="Heading 1"/>
    <w:basedOn w:val="907"/>
    <w:next w:val="907"/>
    <w:link w:val="944"/>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link w:val="945"/>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46"/>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4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48"/>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49"/>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51"/>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52"/>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right="0" w:firstLine="0"/>
      <w:spacing w:after="57"/>
    </w:pPr>
  </w:style>
  <w:style w:type="paragraph" w:styleId="920">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1">
    <w:name w:val="annotation text"/>
    <w:basedOn w:val="907"/>
    <w:uiPriority w:val="99"/>
    <w:semiHidden/>
    <w:unhideWhenUsed/>
    <w:qFormat/>
    <w:pPr>
      <w:jc w:val="left"/>
    </w:pPr>
  </w:style>
  <w:style w:type="paragraph" w:styleId="922">
    <w:name w:val="Body Text"/>
    <w:basedOn w:val="907"/>
    <w:next w:val="907"/>
    <w:uiPriority w:val="0"/>
    <w:qFormat/>
    <w:pPr>
      <w:jc w:val="left"/>
      <w:spacing w:line="360" w:lineRule="auto"/>
      <w:widowControl/>
    </w:pPr>
    <w:rPr>
      <w:sz w:val="24"/>
      <w:szCs w:val="20"/>
    </w:rPr>
  </w:style>
  <w:style w:type="paragraph" w:styleId="923">
    <w:name w:val="Body Text Indent"/>
    <w:basedOn w:val="907"/>
    <w:next w:val="907"/>
    <w:uiPriority w:val="99"/>
    <w:qFormat/>
    <w:pPr>
      <w:ind w:left="570"/>
      <w:spacing w:line="520" w:lineRule="exact"/>
    </w:pPr>
    <w:rPr>
      <w:rFonts w:ascii="方正仿宋简体" w:hAnsi="创艺简仿宋" w:eastAsia="方正仿宋简体" w:cs="Times New Roman"/>
      <w:sz w:val="24"/>
      <w:szCs w:val="20"/>
    </w:rPr>
  </w:style>
  <w:style w:type="paragraph" w:styleId="924">
    <w:name w:val="toc 5"/>
    <w:basedOn w:val="907"/>
    <w:next w:val="907"/>
    <w:uiPriority w:val="39"/>
    <w:unhideWhenUsed/>
    <w:qFormat/>
    <w:pPr>
      <w:ind w:left="1134" w:right="0" w:firstLine="0"/>
      <w:spacing w:after="57"/>
    </w:pPr>
  </w:style>
  <w:style w:type="paragraph" w:styleId="925">
    <w:name w:val="toc 3"/>
    <w:basedOn w:val="907"/>
    <w:next w:val="907"/>
    <w:uiPriority w:val="39"/>
    <w:unhideWhenUsed/>
    <w:qFormat/>
    <w:pPr>
      <w:ind w:left="567" w:right="0" w:firstLine="0"/>
      <w:spacing w:after="57"/>
    </w:pPr>
  </w:style>
  <w:style w:type="paragraph" w:styleId="926">
    <w:name w:val="Plain Text"/>
    <w:basedOn w:val="907"/>
    <w:uiPriority w:val="0"/>
    <w:qFormat/>
    <w:rPr>
      <w:rFonts w:ascii="宋体" w:hAnsi="Courier New" w:eastAsia="宋体" w:cs="Times New Roman"/>
    </w:rPr>
  </w:style>
  <w:style w:type="paragraph" w:styleId="927">
    <w:name w:val="toc 8"/>
    <w:basedOn w:val="907"/>
    <w:next w:val="907"/>
    <w:uiPriority w:val="39"/>
    <w:unhideWhenUsed/>
    <w:qFormat/>
    <w:pPr>
      <w:ind w:left="1984" w:right="0" w:firstLine="0"/>
      <w:spacing w:after="57"/>
    </w:pPr>
  </w:style>
  <w:style w:type="paragraph" w:styleId="928">
    <w:name w:val="endnote text"/>
    <w:basedOn w:val="907"/>
    <w:link w:val="1090"/>
    <w:uiPriority w:val="99"/>
    <w:semiHidden/>
    <w:unhideWhenUsed/>
    <w:qFormat/>
    <w:pPr>
      <w:spacing w:after="0" w:line="240" w:lineRule="auto"/>
    </w:pPr>
    <w:rPr>
      <w:sz w:val="20"/>
    </w:rPr>
  </w:style>
  <w:style w:type="paragraph" w:styleId="929">
    <w:name w:val="Footer"/>
    <w:basedOn w:val="907"/>
    <w:link w:val="963"/>
    <w:uiPriority w:val="99"/>
    <w:unhideWhenUsed/>
    <w:qFormat/>
    <w:pPr>
      <w:spacing w:after="0" w:line="240" w:lineRule="auto"/>
      <w:tabs>
        <w:tab w:val="center" w:pos="7143" w:leader="none"/>
        <w:tab w:val="right" w:pos="14287" w:leader="none"/>
      </w:tabs>
    </w:pPr>
  </w:style>
  <w:style w:type="paragraph" w:styleId="930">
    <w:name w:val="Header"/>
    <w:basedOn w:val="907"/>
    <w:link w:val="961"/>
    <w:uiPriority w:val="99"/>
    <w:unhideWhenUsed/>
    <w:qFormat/>
    <w:pPr>
      <w:spacing w:after="0" w:line="240" w:lineRule="auto"/>
      <w:tabs>
        <w:tab w:val="center" w:pos="7143" w:leader="none"/>
        <w:tab w:val="right" w:pos="14287" w:leader="none"/>
      </w:tabs>
    </w:pPr>
  </w:style>
  <w:style w:type="paragraph" w:styleId="931">
    <w:name w:val="toc 1"/>
    <w:basedOn w:val="907"/>
    <w:next w:val="907"/>
    <w:uiPriority w:val="39"/>
    <w:unhideWhenUsed/>
    <w:qFormat/>
    <w:pPr>
      <w:ind w:left="0" w:right="0" w:firstLine="0"/>
      <w:spacing w:after="57"/>
    </w:pPr>
  </w:style>
  <w:style w:type="paragraph" w:styleId="932">
    <w:name w:val="toc 4"/>
    <w:basedOn w:val="907"/>
    <w:next w:val="907"/>
    <w:uiPriority w:val="39"/>
    <w:unhideWhenUsed/>
    <w:qFormat/>
    <w:pPr>
      <w:ind w:left="850" w:right="0" w:firstLine="0"/>
      <w:spacing w:after="57"/>
    </w:pPr>
  </w:style>
  <w:style w:type="paragraph" w:styleId="933">
    <w:name w:val="Subtitle"/>
    <w:basedOn w:val="907"/>
    <w:next w:val="907"/>
    <w:link w:val="956"/>
    <w:uiPriority w:val="11"/>
    <w:qFormat/>
    <w:pPr>
      <w:spacing w:before="200" w:after="200"/>
    </w:pPr>
    <w:rPr>
      <w:sz w:val="24"/>
      <w:szCs w:val="24"/>
    </w:rPr>
  </w:style>
  <w:style w:type="paragraph" w:styleId="934">
    <w:name w:val="footnote text"/>
    <w:basedOn w:val="907"/>
    <w:link w:val="1089"/>
    <w:uiPriority w:val="99"/>
    <w:semiHidden/>
    <w:unhideWhenUsed/>
    <w:qFormat/>
    <w:pPr>
      <w:spacing w:after="40" w:line="240" w:lineRule="auto"/>
    </w:pPr>
    <w:rPr>
      <w:sz w:val="18"/>
    </w:rPr>
  </w:style>
  <w:style w:type="paragraph" w:styleId="935">
    <w:name w:val="toc 6"/>
    <w:basedOn w:val="907"/>
    <w:next w:val="907"/>
    <w:uiPriority w:val="39"/>
    <w:unhideWhenUsed/>
    <w:qFormat/>
    <w:pPr>
      <w:ind w:left="1417" w:right="0" w:firstLine="0"/>
      <w:spacing w:after="57"/>
    </w:pPr>
  </w:style>
  <w:style w:type="paragraph" w:styleId="936">
    <w:name w:val="table of figures"/>
    <w:basedOn w:val="907"/>
    <w:next w:val="907"/>
    <w:uiPriority w:val="99"/>
    <w:unhideWhenUsed/>
    <w:qFormat/>
    <w:pPr>
      <w:spacing w:after="0" w:afterAutospacing="0"/>
    </w:pPr>
  </w:style>
  <w:style w:type="paragraph" w:styleId="937">
    <w:name w:val="toc 2"/>
    <w:basedOn w:val="907"/>
    <w:next w:val="907"/>
    <w:uiPriority w:val="39"/>
    <w:unhideWhenUsed/>
    <w:qFormat/>
    <w:pPr>
      <w:ind w:left="283" w:right="0" w:firstLine="0"/>
      <w:spacing w:after="57"/>
    </w:pPr>
  </w:style>
  <w:style w:type="paragraph" w:styleId="938">
    <w:name w:val="toc 9"/>
    <w:basedOn w:val="907"/>
    <w:next w:val="907"/>
    <w:uiPriority w:val="39"/>
    <w:unhideWhenUsed/>
    <w:qFormat/>
    <w:pPr>
      <w:ind w:left="2268" w:right="0" w:firstLine="0"/>
      <w:spacing w:after="57"/>
    </w:pPr>
  </w:style>
  <w:style w:type="paragraph" w:styleId="939">
    <w:name w:val="Title"/>
    <w:basedOn w:val="907"/>
    <w:next w:val="907"/>
    <w:link w:val="955"/>
    <w:uiPriority w:val="10"/>
    <w:qFormat/>
    <w:pPr>
      <w:contextualSpacing/>
      <w:spacing w:before="300" w:after="200"/>
    </w:pPr>
    <w:rPr>
      <w:sz w:val="48"/>
      <w:szCs w:val="48"/>
    </w:rPr>
  </w:style>
  <w:style w:type="table" w:styleId="9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endnote reference"/>
    <w:uiPriority w:val="99"/>
    <w:semiHidden/>
    <w:unhideWhenUsed/>
    <w:qFormat/>
    <w:rPr>
      <w:vertAlign w:val="superscript"/>
    </w:rPr>
  </w:style>
  <w:style w:type="character" w:styleId="942">
    <w:name w:val="Hyperlink"/>
    <w:uiPriority w:val="99"/>
    <w:unhideWhenUsed/>
    <w:qFormat/>
    <w:rPr>
      <w:color w:val="0000ff" w:themeColor="hyperlink"/>
      <w:u w:val="single"/>
      <w14:textFill>
        <w14:solidFill>
          <w14:schemeClr w14:val="hlink"/>
        </w14:solidFill>
      </w14:textFill>
    </w:rPr>
  </w:style>
  <w:style w:type="character" w:styleId="943">
    <w:name w:val="footnote reference"/>
    <w:uiPriority w:val="99"/>
    <w:unhideWhenUsed/>
    <w:qFormat/>
    <w:rPr>
      <w:vertAlign w:val="superscript"/>
    </w:rPr>
  </w:style>
  <w:style w:type="character" w:styleId="944" w:customStyle="1">
    <w:name w:val="Heading 1 Char"/>
    <w:link w:val="908"/>
    <w:uiPriority w:val="9"/>
    <w:qFormat/>
    <w:rPr>
      <w:rFonts w:ascii="Arial" w:hAnsi="Arial" w:eastAsia="Arial" w:cs="Arial"/>
      <w:sz w:val="40"/>
      <w:szCs w:val="40"/>
    </w:rPr>
  </w:style>
  <w:style w:type="character" w:styleId="945" w:customStyle="1">
    <w:name w:val="Heading 2 Char"/>
    <w:link w:val="909"/>
    <w:uiPriority w:val="9"/>
    <w:qFormat/>
    <w:rPr>
      <w:rFonts w:ascii="Arial" w:hAnsi="Arial" w:eastAsia="Arial" w:cs="Arial"/>
      <w:sz w:val="34"/>
    </w:rPr>
  </w:style>
  <w:style w:type="character" w:styleId="946" w:customStyle="1">
    <w:name w:val="Heading 3 Char"/>
    <w:link w:val="910"/>
    <w:uiPriority w:val="9"/>
    <w:qFormat/>
    <w:rPr>
      <w:rFonts w:ascii="Arial" w:hAnsi="Arial" w:eastAsia="Arial" w:cs="Arial"/>
      <w:sz w:val="30"/>
      <w:szCs w:val="30"/>
    </w:rPr>
  </w:style>
  <w:style w:type="character" w:styleId="947" w:customStyle="1">
    <w:name w:val="Heading 4 Char"/>
    <w:link w:val="911"/>
    <w:uiPriority w:val="9"/>
    <w:qFormat/>
    <w:rPr>
      <w:rFonts w:ascii="Arial" w:hAnsi="Arial" w:eastAsia="Arial" w:cs="Arial"/>
      <w:b/>
      <w:bCs/>
      <w:sz w:val="26"/>
      <w:szCs w:val="26"/>
    </w:rPr>
  </w:style>
  <w:style w:type="character" w:styleId="948" w:customStyle="1">
    <w:name w:val="Heading 5 Char"/>
    <w:link w:val="912"/>
    <w:uiPriority w:val="9"/>
    <w:qFormat/>
    <w:rPr>
      <w:rFonts w:ascii="Arial" w:hAnsi="Arial" w:eastAsia="Arial" w:cs="Arial"/>
      <w:b/>
      <w:bCs/>
      <w:sz w:val="24"/>
      <w:szCs w:val="24"/>
    </w:rPr>
  </w:style>
  <w:style w:type="character" w:styleId="949" w:customStyle="1">
    <w:name w:val="Heading 6 Char"/>
    <w:link w:val="913"/>
    <w:uiPriority w:val="9"/>
    <w:qFormat/>
    <w:rPr>
      <w:rFonts w:ascii="Arial" w:hAnsi="Arial" w:eastAsia="Arial" w:cs="Arial"/>
      <w:b/>
      <w:bCs/>
      <w:sz w:val="22"/>
      <w:szCs w:val="22"/>
    </w:rPr>
  </w:style>
  <w:style w:type="character" w:styleId="950" w:customStyle="1">
    <w:name w:val="Heading 7 Char"/>
    <w:link w:val="914"/>
    <w:uiPriority w:val="9"/>
    <w:qFormat/>
    <w:rPr>
      <w:rFonts w:ascii="Arial" w:hAnsi="Arial" w:eastAsia="Arial" w:cs="Arial"/>
      <w:b/>
      <w:bCs/>
      <w:i/>
      <w:iCs/>
      <w:sz w:val="22"/>
      <w:szCs w:val="22"/>
    </w:rPr>
  </w:style>
  <w:style w:type="character" w:styleId="951" w:customStyle="1">
    <w:name w:val="Heading 8 Char"/>
    <w:link w:val="915"/>
    <w:uiPriority w:val="9"/>
    <w:qFormat/>
    <w:rPr>
      <w:rFonts w:ascii="Arial" w:hAnsi="Arial" w:eastAsia="Arial" w:cs="Arial"/>
      <w:i/>
      <w:iCs/>
      <w:sz w:val="22"/>
      <w:szCs w:val="22"/>
    </w:rPr>
  </w:style>
  <w:style w:type="character" w:styleId="952" w:customStyle="1">
    <w:name w:val="Heading 9 Char"/>
    <w:link w:val="916"/>
    <w:uiPriority w:val="9"/>
    <w:qFormat/>
    <w:rPr>
      <w:rFonts w:ascii="Arial" w:hAnsi="Arial" w:eastAsia="Arial" w:cs="Arial"/>
      <w:i/>
      <w:iCs/>
      <w:sz w:val="21"/>
      <w:szCs w:val="21"/>
    </w:rPr>
  </w:style>
  <w:style w:type="paragraph" w:styleId="953">
    <w:name w:val="List Paragraph"/>
    <w:basedOn w:val="907"/>
    <w:uiPriority w:val="34"/>
    <w:qFormat/>
    <w:pPr>
      <w:contextualSpacing/>
      <w:ind w:left="720"/>
    </w:pPr>
  </w:style>
  <w:style w:type="paragraph" w:styleId="954">
    <w:name w:val="No Spacing"/>
    <w:uiPriority w:val="1"/>
    <w:qFormat/>
    <w:pPr>
      <w:spacing w:before="0" w:after="0" w:line="240" w:lineRule="auto"/>
    </w:pPr>
    <w:rPr>
      <w:rFonts w:hint="default" w:ascii="Times New Roman" w:hAnsi="Times New Roman" w:eastAsia="宋体" w:cs="Times New Roman"/>
    </w:rPr>
  </w:style>
  <w:style w:type="character" w:styleId="955" w:customStyle="1">
    <w:name w:val="Title Char"/>
    <w:link w:val="939"/>
    <w:uiPriority w:val="10"/>
    <w:qFormat/>
    <w:rPr>
      <w:sz w:val="48"/>
      <w:szCs w:val="48"/>
    </w:rPr>
  </w:style>
  <w:style w:type="character" w:styleId="956" w:customStyle="1">
    <w:name w:val="Subtitle Char"/>
    <w:link w:val="933"/>
    <w:uiPriority w:val="11"/>
    <w:qFormat/>
    <w:rPr>
      <w:sz w:val="24"/>
      <w:szCs w:val="24"/>
    </w:rPr>
  </w:style>
  <w:style w:type="paragraph" w:styleId="957">
    <w:name w:val="Quote"/>
    <w:basedOn w:val="907"/>
    <w:next w:val="907"/>
    <w:link w:val="958"/>
    <w:uiPriority w:val="29"/>
    <w:qFormat/>
    <w:pPr>
      <w:ind w:left="720" w:right="720"/>
    </w:pPr>
    <w:rPr>
      <w:i/>
    </w:rPr>
  </w:style>
  <w:style w:type="character" w:styleId="958" w:customStyle="1">
    <w:name w:val="Quote Char"/>
    <w:link w:val="957"/>
    <w:uiPriority w:val="29"/>
    <w:qFormat/>
    <w:rPr>
      <w:i/>
    </w:rPr>
  </w:style>
  <w:style w:type="paragraph" w:styleId="959">
    <w:name w:val="Intense Quote"/>
    <w:basedOn w:val="907"/>
    <w:next w:val="907"/>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Intense Quote Char"/>
    <w:link w:val="959"/>
    <w:uiPriority w:val="30"/>
    <w:qFormat/>
    <w:rPr>
      <w:i/>
    </w:rPr>
  </w:style>
  <w:style w:type="character" w:styleId="961" w:customStyle="1">
    <w:name w:val="Header Char"/>
    <w:link w:val="930"/>
    <w:uiPriority w:val="99"/>
    <w:qFormat/>
  </w:style>
  <w:style w:type="character" w:styleId="962" w:customStyle="1">
    <w:name w:val="Footer Char"/>
    <w:link w:val="929"/>
    <w:uiPriority w:val="99"/>
    <w:qFormat/>
  </w:style>
  <w:style w:type="character" w:styleId="963" w:customStyle="1">
    <w:name w:val="Caption Char"/>
    <w:link w:val="929"/>
    <w:uiPriority w:val="99"/>
    <w:qFormat/>
  </w:style>
  <w:style w:type="table" w:styleId="9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9" w:customStyle="1">
    <w:name w:val="Footnote Text Char"/>
    <w:link w:val="934"/>
    <w:uiPriority w:val="99"/>
    <w:qFormat/>
    <w:rPr>
      <w:sz w:val="18"/>
    </w:rPr>
  </w:style>
  <w:style w:type="character" w:styleId="1090" w:customStyle="1">
    <w:name w:val="Endnote Text Char"/>
    <w:link w:val="928"/>
    <w:uiPriority w:val="99"/>
    <w:qFormat/>
    <w:rPr>
      <w:sz w:val="20"/>
    </w:rPr>
  </w:style>
  <w:style w:type="paragraph" w:styleId="1091" w:customStyle="1">
    <w:name w:val="TOC Heading"/>
    <w:uiPriority w:val="39"/>
    <w:unhideWhenUsed/>
    <w:qFormat/>
    <w:rPr>
      <w:rFonts w:hint="default" w:ascii="Times New Roman" w:hAnsi="Times New Roman" w:eastAsia="宋体" w:cs="Times New Roman"/>
    </w:rPr>
  </w:style>
  <w:style w:type="paragraph" w:styleId="1092" w:customStyle="1">
    <w:name w:val="标题 11"/>
    <w:basedOn w:val="907"/>
    <w:next w:val="907"/>
    <w:uiPriority w:val="0"/>
    <w:qFormat/>
    <w:pPr>
      <w:keepLines/>
      <w:keepNext/>
      <w:spacing w:line="578" w:lineRule="auto"/>
      <w:outlineLvl w:val="0"/>
    </w:pPr>
    <w:rPr>
      <w:rFonts w:ascii="Times New Roman" w:hAnsi="Times New Roman" w:eastAsia="宋体" w:cs="Times New Roman"/>
      <w:b/>
      <w:sz w:val="44"/>
    </w:rPr>
  </w:style>
  <w:style w:type="paragraph" w:styleId="1093" w:customStyle="1">
    <w:name w:val="标题 21"/>
    <w:basedOn w:val="907"/>
    <w:next w:val="907"/>
    <w:link w:val="1098"/>
    <w:uiPriority w:val="0"/>
    <w:qFormat/>
    <w:pPr>
      <w:jc w:val="left"/>
      <w:keepLines/>
      <w:keepNext/>
      <w:outlineLvl w:val="1"/>
    </w:pPr>
    <w:rPr>
      <w:rFonts w:ascii="宋体" w:hAnsi="宋体"/>
      <w:b/>
    </w:rPr>
  </w:style>
  <w:style w:type="paragraph" w:styleId="1094" w:customStyle="1">
    <w:name w:val="标题 31"/>
    <w:basedOn w:val="907"/>
    <w:next w:val="907"/>
    <w:uiPriority w:val="0"/>
    <w:qFormat/>
    <w:pPr>
      <w:jc w:val="left"/>
      <w:keepLines/>
      <w:keepNext/>
      <w:outlineLvl w:val="2"/>
    </w:pPr>
    <w:rPr>
      <w:rFonts w:ascii="Times New Roman" w:hAnsi="Times New Roman" w:eastAsia="宋体" w:cs="Times New Roman"/>
      <w:b/>
    </w:rPr>
  </w:style>
  <w:style w:type="paragraph" w:styleId="1095" w:customStyle="1">
    <w:name w:val="标题 41"/>
    <w:basedOn w:val="907"/>
    <w:next w:val="907"/>
    <w:uiPriority w:val="0"/>
    <w:qFormat/>
    <w:pPr>
      <w:keepLines/>
      <w:keepNext/>
      <w:spacing w:line="376" w:lineRule="auto"/>
      <w:outlineLvl w:val="3"/>
    </w:pPr>
    <w:rPr>
      <w:rFonts w:ascii="Arial" w:hAnsi="Arial" w:eastAsia="黑体" w:cs="Times New Roman"/>
      <w:b/>
      <w:bCs/>
      <w:sz w:val="28"/>
      <w:szCs w:val="28"/>
    </w:rPr>
  </w:style>
  <w:style w:type="character" w:styleId="1096" w:customStyle="1">
    <w:name w:val="默认段落字体1"/>
    <w:link w:val="907"/>
    <w:uiPriority w:val="0"/>
    <w:qFormat/>
    <w:rPr>
      <w:rFonts w:ascii="Times New Roman" w:hAnsi="Times New Roman" w:eastAsia="宋体" w:cs="Times New Roman"/>
    </w:rPr>
  </w:style>
  <w:style w:type="table" w:styleId="1097" w:customStyle="1">
    <w:name w:val="普通表格1"/>
    <w:uiPriority w:val="0"/>
    <w:qFormat/>
    <w:rPr>
      <w:rFonts w:ascii="Times New Roman" w:hAnsi="Times New Roman" w:eastAsia="宋体" w:cs="Times New Roman"/>
    </w:rPr>
    <w:tblPr/>
  </w:style>
  <w:style w:type="character" w:styleId="1098" w:customStyle="1">
    <w:name w:val="标题 2 字符"/>
    <w:link w:val="1093"/>
    <w:uiPriority w:val="0"/>
    <w:qFormat/>
    <w:rPr>
      <w:rFonts w:ascii="宋体" w:hAnsi="宋体" w:eastAsia="楷体_GB2312" w:cs="Times New Roman"/>
      <w:b/>
      <w:sz w:val="26"/>
      <w:lang w:val="en-US" w:eastAsia="zh-CN" w:bidi="ar-SA"/>
    </w:rPr>
  </w:style>
  <w:style w:type="paragraph" w:styleId="1099" w:customStyle="1">
    <w:name w:val="目录 71"/>
    <w:basedOn w:val="907"/>
    <w:next w:val="907"/>
    <w:uiPriority w:val="0"/>
    <w:qFormat/>
    <w:pPr>
      <w:ind w:left="2520"/>
    </w:pPr>
    <w:rPr>
      <w:rFonts w:ascii="Times New Roman" w:hAnsi="Times New Roman" w:eastAsia="宋体" w:cs="Times New Roman"/>
    </w:rPr>
  </w:style>
  <w:style w:type="paragraph" w:styleId="1100" w:customStyle="1">
    <w:name w:val="索引 81"/>
    <w:basedOn w:val="907"/>
    <w:next w:val="907"/>
    <w:uiPriority w:val="0"/>
    <w:qFormat/>
    <w:pPr>
      <w:ind w:left="2940"/>
    </w:pPr>
    <w:rPr>
      <w:rFonts w:ascii="Times New Roman" w:hAnsi="Times New Roman" w:eastAsia="宋体" w:cs="Times New Roman"/>
    </w:rPr>
  </w:style>
  <w:style w:type="paragraph" w:styleId="1101" w:customStyle="1">
    <w:name w:val="正文缩进11"/>
    <w:basedOn w:val="907"/>
    <w:next w:val="907"/>
    <w:link w:val="1102"/>
    <w:uiPriority w:val="0"/>
    <w:qFormat/>
    <w:pPr>
      <w:ind w:firstLine="420"/>
      <w:jc w:val="left"/>
    </w:pPr>
    <w:rPr>
      <w:sz w:val="24"/>
    </w:rPr>
  </w:style>
  <w:style w:type="character" w:styleId="1102" w:customStyle="1">
    <w:name w:val="正文缩进 字符"/>
    <w:link w:val="1101"/>
    <w:uiPriority w:val="0"/>
    <w:qFormat/>
    <w:rPr>
      <w:rFonts w:ascii="Times New Roman" w:hAnsi="Times New Roman" w:eastAsia="楷体_GB2312" w:cs="Times New Roman"/>
      <w:sz w:val="24"/>
      <w:lang w:val="en-US" w:eastAsia="zh-CN" w:bidi="ar-SA"/>
    </w:rPr>
  </w:style>
  <w:style w:type="paragraph" w:styleId="1103" w:customStyle="1">
    <w:name w:val="索引 51"/>
    <w:basedOn w:val="907"/>
    <w:next w:val="907"/>
    <w:uiPriority w:val="0"/>
    <w:qFormat/>
    <w:pPr>
      <w:ind w:left="1680"/>
    </w:pPr>
    <w:rPr>
      <w:rFonts w:ascii="Times New Roman" w:hAnsi="Times New Roman" w:eastAsia="宋体" w:cs="Times New Roman"/>
    </w:rPr>
  </w:style>
  <w:style w:type="paragraph" w:styleId="1104" w:customStyle="1">
    <w:name w:val="文档结构图1"/>
    <w:basedOn w:val="907"/>
    <w:uiPriority w:val="0"/>
    <w:qFormat/>
    <w:pPr>
      <w:shd w:val="clear" w:color="auto" w:fill="000080"/>
    </w:pPr>
    <w:rPr>
      <w:rFonts w:ascii="Times New Roman" w:hAnsi="Times New Roman" w:eastAsia="宋体" w:cs="Times New Roman"/>
    </w:rPr>
  </w:style>
  <w:style w:type="paragraph" w:styleId="1105" w:customStyle="1">
    <w:name w:val="批注文字1"/>
    <w:basedOn w:val="907"/>
    <w:uiPriority w:val="0"/>
    <w:qFormat/>
    <w:pPr>
      <w:jc w:val="left"/>
    </w:pPr>
    <w:rPr>
      <w:rFonts w:ascii="Times New Roman" w:hAnsi="Times New Roman" w:eastAsia="宋体" w:cs="Times New Roman"/>
    </w:rPr>
  </w:style>
  <w:style w:type="paragraph" w:styleId="1106" w:customStyle="1">
    <w:name w:val="索引 61"/>
    <w:basedOn w:val="907"/>
    <w:next w:val="907"/>
    <w:uiPriority w:val="0"/>
    <w:qFormat/>
    <w:pPr>
      <w:ind w:left="2100"/>
    </w:pPr>
    <w:rPr>
      <w:rFonts w:ascii="Times New Roman" w:hAnsi="Times New Roman" w:eastAsia="宋体" w:cs="Times New Roman"/>
    </w:rPr>
  </w:style>
  <w:style w:type="paragraph" w:styleId="1107" w:customStyle="1">
    <w:name w:val="正文文本1"/>
    <w:basedOn w:val="907"/>
    <w:next w:val="907"/>
    <w:link w:val="1108"/>
    <w:uiPriority w:val="0"/>
    <w:qFormat/>
    <w:pPr>
      <w:spacing w:line="400" w:lineRule="exact"/>
    </w:pPr>
    <w:rPr>
      <w:rFonts w:ascii="楷体_GB2312"/>
      <w:sz w:val="28"/>
    </w:rPr>
  </w:style>
  <w:style w:type="character" w:styleId="1108" w:customStyle="1">
    <w:name w:val="正文文本 字符"/>
    <w:link w:val="1107"/>
    <w:uiPriority w:val="0"/>
    <w:qFormat/>
    <w:rPr>
      <w:rFonts w:ascii="楷体_GB2312" w:hAnsi="Times New Roman" w:eastAsia="楷体_GB2312" w:cs="Times New Roman"/>
      <w:sz w:val="28"/>
    </w:rPr>
  </w:style>
  <w:style w:type="paragraph" w:styleId="1109" w:customStyle="1">
    <w:name w:val="正文文本缩进11"/>
    <w:basedOn w:val="907"/>
    <w:next w:val="907"/>
    <w:link w:val="1110"/>
    <w:uiPriority w:val="0"/>
    <w:qFormat/>
    <w:pPr>
      <w:ind w:left="570"/>
      <w:spacing w:line="520" w:lineRule="exact"/>
    </w:pPr>
    <w:rPr>
      <w:rFonts w:ascii="方正仿宋简体" w:hAnsi="创艺简仿宋" w:eastAsia="方正仿宋简体"/>
      <w:sz w:val="24"/>
    </w:rPr>
  </w:style>
  <w:style w:type="character" w:styleId="1110" w:customStyle="1">
    <w:name w:val="正文文本缩进 字符"/>
    <w:link w:val="1109"/>
    <w:uiPriority w:val="0"/>
    <w:qFormat/>
    <w:rPr>
      <w:rFonts w:ascii="方正仿宋简体" w:hAnsi="创艺简仿宋" w:eastAsia="方正仿宋简体" w:cs="Times New Roman"/>
      <w:sz w:val="24"/>
    </w:rPr>
  </w:style>
  <w:style w:type="paragraph" w:styleId="1111" w:customStyle="1">
    <w:name w:val="文本块1"/>
    <w:basedOn w:val="1092"/>
    <w:next w:val="907"/>
    <w:uiPriority w:val="0"/>
    <w:qFormat/>
    <w:pPr>
      <w:ind w:left="630" w:right="-609" w:firstLine="420"/>
      <w:spacing w:line="360" w:lineRule="auto"/>
    </w:pPr>
    <w:rPr>
      <w:rFonts w:hint="eastAsia" w:ascii="仿宋_GB2312" w:hAnsi="Times New Roman" w:eastAsia="仿宋_GB2312" w:cs="Times New Roman"/>
      <w:szCs w:val="20"/>
    </w:rPr>
  </w:style>
  <w:style w:type="paragraph" w:styleId="1112" w:customStyle="1">
    <w:name w:val="索引 41"/>
    <w:basedOn w:val="907"/>
    <w:next w:val="907"/>
    <w:uiPriority w:val="0"/>
    <w:qFormat/>
    <w:pPr>
      <w:ind w:left="1260"/>
    </w:pPr>
    <w:rPr>
      <w:rFonts w:ascii="Times New Roman" w:hAnsi="Times New Roman" w:eastAsia="宋体" w:cs="Times New Roman"/>
    </w:rPr>
  </w:style>
  <w:style w:type="paragraph" w:styleId="1113" w:customStyle="1">
    <w:name w:val="目录 51"/>
    <w:basedOn w:val="907"/>
    <w:next w:val="907"/>
    <w:uiPriority w:val="0"/>
    <w:qFormat/>
    <w:pPr>
      <w:ind w:left="1680"/>
    </w:pPr>
    <w:rPr>
      <w:rFonts w:ascii="Times New Roman" w:hAnsi="Times New Roman" w:eastAsia="宋体" w:cs="Times New Roman"/>
    </w:rPr>
  </w:style>
  <w:style w:type="paragraph" w:styleId="1114" w:customStyle="1">
    <w:name w:val="目录 31"/>
    <w:basedOn w:val="907"/>
    <w:next w:val="907"/>
    <w:uiPriority w:val="0"/>
    <w:qFormat/>
    <w:pPr>
      <w:ind w:left="840"/>
    </w:pPr>
    <w:rPr>
      <w:rFonts w:ascii="Times New Roman" w:hAnsi="Times New Roman" w:eastAsia="宋体" w:cs="Times New Roman"/>
    </w:rPr>
  </w:style>
  <w:style w:type="paragraph" w:styleId="1115" w:customStyle="1">
    <w:name w:val="纯文本11"/>
    <w:basedOn w:val="907"/>
    <w:link w:val="1116"/>
    <w:uiPriority w:val="0"/>
    <w:qFormat/>
    <w:rPr>
      <w:rFonts w:ascii="宋体" w:hAnsi="Courier New"/>
    </w:rPr>
  </w:style>
  <w:style w:type="character" w:styleId="1116" w:customStyle="1">
    <w:name w:val="纯文本 字符"/>
    <w:link w:val="1115"/>
    <w:uiPriority w:val="0"/>
    <w:qFormat/>
    <w:rPr>
      <w:rFonts w:ascii="宋体" w:hAnsi="Courier New" w:eastAsia="楷体_GB2312" w:cs="Times New Roman"/>
      <w:sz w:val="26"/>
    </w:rPr>
  </w:style>
  <w:style w:type="paragraph" w:styleId="1117" w:customStyle="1">
    <w:name w:val="目录 81"/>
    <w:basedOn w:val="907"/>
    <w:next w:val="907"/>
    <w:uiPriority w:val="0"/>
    <w:qFormat/>
    <w:pPr>
      <w:ind w:left="2940"/>
    </w:pPr>
    <w:rPr>
      <w:rFonts w:ascii="Times New Roman" w:hAnsi="Times New Roman" w:eastAsia="宋体" w:cs="Times New Roman"/>
    </w:rPr>
  </w:style>
  <w:style w:type="paragraph" w:styleId="1118" w:customStyle="1">
    <w:name w:val="索引 31"/>
    <w:basedOn w:val="907"/>
    <w:next w:val="907"/>
    <w:uiPriority w:val="0"/>
    <w:qFormat/>
    <w:pPr>
      <w:ind w:left="840"/>
    </w:pPr>
    <w:rPr>
      <w:rFonts w:ascii="Times New Roman" w:hAnsi="Times New Roman" w:eastAsia="宋体" w:cs="Times New Roman"/>
    </w:rPr>
  </w:style>
  <w:style w:type="paragraph" w:styleId="1119" w:customStyle="1">
    <w:name w:val="日期1"/>
    <w:basedOn w:val="907"/>
    <w:next w:val="907"/>
    <w:uiPriority w:val="0"/>
    <w:qFormat/>
    <w:rPr>
      <w:rFonts w:ascii="宋体" w:hAnsi="宋体" w:eastAsia="宋体" w:cs="Times New Roman"/>
      <w:sz w:val="24"/>
    </w:rPr>
  </w:style>
  <w:style w:type="paragraph" w:styleId="1120" w:customStyle="1">
    <w:name w:val="正文文本缩进 21"/>
    <w:basedOn w:val="907"/>
    <w:uiPriority w:val="0"/>
    <w:qFormat/>
    <w:pPr>
      <w:ind w:firstLine="502"/>
      <w:spacing w:line="360" w:lineRule="auto"/>
      <w:tabs>
        <w:tab w:val="left" w:pos="0" w:leader="none"/>
      </w:tabs>
    </w:pPr>
    <w:rPr>
      <w:rFonts w:ascii="宋体" w:hAnsi="Times New Roman" w:eastAsia="宋体" w:cs="Times New Roman"/>
      <w:b/>
      <w:bCs/>
      <w:sz w:val="24"/>
    </w:rPr>
  </w:style>
  <w:style w:type="paragraph" w:styleId="1121" w:customStyle="1">
    <w:name w:val="尾注文本1"/>
    <w:basedOn w:val="907"/>
    <w:link w:val="1122"/>
    <w:uiPriority w:val="0"/>
    <w:qFormat/>
    <w:pPr>
      <w:jc w:val="left"/>
    </w:pPr>
  </w:style>
  <w:style w:type="character" w:styleId="1122" w:customStyle="1">
    <w:name w:val="尾注文本 字符"/>
    <w:link w:val="1121"/>
    <w:uiPriority w:val="0"/>
    <w:qFormat/>
    <w:rPr>
      <w:rFonts w:ascii="Times New Roman" w:hAnsi="Times New Roman" w:eastAsia="楷体_GB2312" w:cs="Times New Roman"/>
      <w:sz w:val="26"/>
    </w:rPr>
  </w:style>
  <w:style w:type="paragraph" w:styleId="1123" w:customStyle="1">
    <w:name w:val="批注框文本1"/>
    <w:basedOn w:val="907"/>
    <w:uiPriority w:val="0"/>
    <w:qFormat/>
    <w:rPr>
      <w:rFonts w:ascii="Times New Roman" w:hAnsi="Times New Roman" w:eastAsia="宋体" w:cs="Times New Roman"/>
      <w:sz w:val="18"/>
      <w:szCs w:val="18"/>
    </w:rPr>
  </w:style>
  <w:style w:type="paragraph" w:styleId="1124" w:customStyle="1">
    <w:name w:val="页脚1"/>
    <w:basedOn w:val="907"/>
    <w:uiPriority w:val="0"/>
    <w:qFormat/>
    <w:pPr>
      <w:jc w:val="left"/>
      <w:tabs>
        <w:tab w:val="center" w:pos="4153" w:leader="none"/>
        <w:tab w:val="right" w:pos="8306" w:leader="none"/>
      </w:tabs>
    </w:pPr>
    <w:rPr>
      <w:rFonts w:ascii="Times New Roman" w:hAnsi="Times New Roman" w:eastAsia="宋体" w:cs="Times New Roman"/>
      <w:sz w:val="18"/>
    </w:rPr>
  </w:style>
  <w:style w:type="paragraph" w:styleId="1125" w:customStyle="1">
    <w:name w:val="页眉1"/>
    <w:basedOn w:val="90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26" w:customStyle="1">
    <w:name w:val="目录 11"/>
    <w:basedOn w:val="907"/>
    <w:next w:val="907"/>
    <w:uiPriority w:val="0"/>
    <w:qFormat/>
    <w:pPr>
      <w:jc w:val="left"/>
    </w:pPr>
    <w:rPr>
      <w:rFonts w:ascii="Times New Roman" w:hAnsi="Times New Roman" w:eastAsia="宋体" w:cs="Times New Roman"/>
      <w:sz w:val="24"/>
    </w:rPr>
  </w:style>
  <w:style w:type="paragraph" w:styleId="1127" w:customStyle="1">
    <w:name w:val="目录 41"/>
    <w:basedOn w:val="907"/>
    <w:next w:val="907"/>
    <w:uiPriority w:val="0"/>
    <w:qFormat/>
    <w:pPr>
      <w:ind w:left="1260"/>
    </w:pPr>
    <w:rPr>
      <w:rFonts w:ascii="Times New Roman" w:hAnsi="Times New Roman" w:eastAsia="宋体" w:cs="Times New Roman"/>
    </w:rPr>
  </w:style>
  <w:style w:type="paragraph" w:styleId="1128" w:customStyle="1">
    <w:name w:val="索引标题1"/>
    <w:basedOn w:val="907"/>
    <w:next w:val="1129"/>
    <w:uiPriority w:val="0"/>
    <w:qFormat/>
    <w:rPr>
      <w:rFonts w:ascii="Times New Roman" w:hAnsi="Times New Roman" w:eastAsia="宋体" w:cs="Times New Roman"/>
    </w:rPr>
  </w:style>
  <w:style w:type="paragraph" w:styleId="1129" w:customStyle="1">
    <w:name w:val="索引 11"/>
    <w:basedOn w:val="907"/>
    <w:next w:val="907"/>
    <w:uiPriority w:val="0"/>
    <w:qFormat/>
    <w:rPr>
      <w:rFonts w:ascii="Times New Roman" w:hAnsi="Times New Roman" w:eastAsia="宋体" w:cs="Times New Roman"/>
    </w:rPr>
  </w:style>
  <w:style w:type="paragraph" w:styleId="1130" w:customStyle="1">
    <w:name w:val="脚注文本1"/>
    <w:basedOn w:val="1092"/>
    <w:next w:val="1111"/>
    <w:uiPriority w:val="0"/>
    <w:qFormat/>
    <w:pPr>
      <w:jc w:val="left"/>
    </w:pPr>
    <w:rPr>
      <w:rFonts w:ascii="Times New Roman" w:hAnsi="Times New Roman" w:eastAsia="宋体" w:cs="Times New Roman"/>
      <w:sz w:val="18"/>
    </w:rPr>
  </w:style>
  <w:style w:type="paragraph" w:styleId="1131" w:customStyle="1">
    <w:name w:val="目录 61"/>
    <w:basedOn w:val="907"/>
    <w:next w:val="907"/>
    <w:uiPriority w:val="0"/>
    <w:qFormat/>
    <w:pPr>
      <w:ind w:left="2100"/>
    </w:pPr>
    <w:rPr>
      <w:rFonts w:ascii="Times New Roman" w:hAnsi="Times New Roman" w:eastAsia="宋体" w:cs="Times New Roman"/>
    </w:rPr>
  </w:style>
  <w:style w:type="paragraph" w:styleId="1132" w:customStyle="1">
    <w:name w:val="正文文本缩进 31"/>
    <w:basedOn w:val="907"/>
    <w:link w:val="1133"/>
    <w:uiPriority w:val="0"/>
    <w:qFormat/>
    <w:pPr>
      <w:ind w:firstLine="617"/>
      <w:spacing w:line="360" w:lineRule="auto"/>
    </w:pPr>
    <w:rPr>
      <w:rFonts w:eastAsia="宋体"/>
      <w:sz w:val="24"/>
      <w:szCs w:val="24"/>
    </w:rPr>
  </w:style>
  <w:style w:type="character" w:styleId="1133" w:customStyle="1">
    <w:name w:val="正文文本缩进 3 字符"/>
    <w:link w:val="1132"/>
    <w:uiPriority w:val="0"/>
    <w:qFormat/>
    <w:rPr>
      <w:rFonts w:ascii="Times New Roman" w:hAnsi="Times New Roman" w:eastAsia="宋体" w:cs="Times New Roman"/>
      <w:sz w:val="24"/>
      <w:szCs w:val="24"/>
    </w:rPr>
  </w:style>
  <w:style w:type="paragraph" w:styleId="1134" w:customStyle="1">
    <w:name w:val="索引 71"/>
    <w:basedOn w:val="907"/>
    <w:next w:val="907"/>
    <w:uiPriority w:val="0"/>
    <w:qFormat/>
    <w:pPr>
      <w:ind w:left="2520"/>
    </w:pPr>
    <w:rPr>
      <w:rFonts w:ascii="Times New Roman" w:hAnsi="Times New Roman" w:eastAsia="宋体" w:cs="Times New Roman"/>
    </w:rPr>
  </w:style>
  <w:style w:type="paragraph" w:styleId="1135" w:customStyle="1">
    <w:name w:val="索引 91"/>
    <w:basedOn w:val="907"/>
    <w:next w:val="907"/>
    <w:uiPriority w:val="0"/>
    <w:qFormat/>
    <w:pPr>
      <w:ind w:left="3360"/>
    </w:pPr>
    <w:rPr>
      <w:rFonts w:ascii="Times New Roman" w:hAnsi="Times New Roman" w:eastAsia="宋体" w:cs="Times New Roman"/>
    </w:rPr>
  </w:style>
  <w:style w:type="paragraph" w:styleId="1136" w:customStyle="1">
    <w:name w:val="图表目录1"/>
    <w:basedOn w:val="907"/>
    <w:next w:val="907"/>
    <w:uiPriority w:val="0"/>
    <w:qFormat/>
    <w:pPr>
      <w:ind w:left="420" w:hanging="420"/>
      <w:jc w:val="left"/>
    </w:pPr>
    <w:rPr>
      <w:rFonts w:ascii="Times New Roman" w:hAnsi="Times New Roman" w:eastAsia="宋体" w:cs="Times New Roman"/>
      <w:smallCaps/>
      <w:sz w:val="24"/>
    </w:rPr>
  </w:style>
  <w:style w:type="paragraph" w:styleId="1137" w:customStyle="1">
    <w:name w:val="目录 21"/>
    <w:basedOn w:val="907"/>
    <w:next w:val="907"/>
    <w:uiPriority w:val="0"/>
    <w:qFormat/>
    <w:pPr>
      <w:ind w:left="420"/>
    </w:pPr>
    <w:rPr>
      <w:rFonts w:ascii="Times New Roman" w:hAnsi="Times New Roman" w:eastAsia="宋体" w:cs="Times New Roman"/>
    </w:rPr>
  </w:style>
  <w:style w:type="paragraph" w:styleId="1138" w:customStyle="1">
    <w:name w:val="目录 91"/>
    <w:basedOn w:val="907"/>
    <w:next w:val="907"/>
    <w:uiPriority w:val="0"/>
    <w:qFormat/>
    <w:pPr>
      <w:ind w:left="3360"/>
    </w:pPr>
    <w:rPr>
      <w:rFonts w:ascii="Times New Roman" w:hAnsi="Times New Roman" w:eastAsia="宋体" w:cs="Times New Roman"/>
    </w:rPr>
  </w:style>
  <w:style w:type="paragraph" w:styleId="1139" w:customStyle="1">
    <w:name w:val="HTML 预设格式1"/>
    <w:basedOn w:val="907"/>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40" w:customStyle="1">
    <w:name w:val="HTML 预设格式 字符"/>
    <w:link w:val="1139"/>
    <w:uiPriority w:val="0"/>
    <w:qFormat/>
    <w:rPr>
      <w:rFonts w:ascii="黑体" w:hAnsi="Courier New" w:eastAsia="黑体" w:cs="楷体_GB2312"/>
    </w:rPr>
  </w:style>
  <w:style w:type="paragraph" w:styleId="1141" w:customStyle="1">
    <w:name w:val="普通(网站)1"/>
    <w:basedOn w:val="907"/>
    <w:uiPriority w:val="0"/>
    <w:qFormat/>
    <w:pPr>
      <w:jc w:val="left"/>
      <w:spacing w:before="100" w:beforeAutospacing="1" w:after="100" w:afterAutospacing="1"/>
    </w:pPr>
    <w:rPr>
      <w:rFonts w:ascii="Calibri" w:hAnsi="Calibri" w:eastAsia="宋体" w:cs="Times New Roman"/>
      <w:sz w:val="24"/>
      <w:szCs w:val="22"/>
    </w:rPr>
  </w:style>
  <w:style w:type="paragraph" w:styleId="1142" w:customStyle="1">
    <w:name w:val="索引 21"/>
    <w:basedOn w:val="907"/>
    <w:next w:val="907"/>
    <w:uiPriority w:val="0"/>
    <w:qFormat/>
    <w:pPr>
      <w:ind w:left="420"/>
    </w:pPr>
    <w:rPr>
      <w:rFonts w:ascii="Times New Roman" w:hAnsi="Times New Roman" w:eastAsia="宋体" w:cs="Times New Roman"/>
    </w:rPr>
  </w:style>
  <w:style w:type="paragraph" w:styleId="1143" w:customStyle="1">
    <w:name w:val="标题1"/>
    <w:basedOn w:val="907"/>
    <w:next w:val="907"/>
    <w:link w:val="1144"/>
    <w:uiPriority w:val="0"/>
    <w:qFormat/>
    <w:pPr>
      <w:jc w:val="center"/>
      <w:spacing w:before="240" w:after="60"/>
      <w:outlineLvl w:val="0"/>
    </w:pPr>
    <w:rPr>
      <w:rFonts w:ascii="Cambria" w:hAnsi="Cambria" w:eastAsia="宋体"/>
      <w:b/>
      <w:bCs/>
      <w:sz w:val="32"/>
      <w:szCs w:val="32"/>
    </w:rPr>
  </w:style>
  <w:style w:type="character" w:styleId="1144" w:customStyle="1">
    <w:name w:val="标题 字符"/>
    <w:link w:val="1143"/>
    <w:uiPriority w:val="0"/>
    <w:qFormat/>
    <w:rPr>
      <w:rFonts w:ascii="Cambria" w:hAnsi="Cambria" w:eastAsia="宋体" w:cs="Times New Roman"/>
      <w:b/>
      <w:bCs/>
      <w:sz w:val="32"/>
      <w:szCs w:val="32"/>
    </w:rPr>
  </w:style>
  <w:style w:type="paragraph" w:styleId="1145" w:customStyle="1">
    <w:name w:val="批注主题1"/>
    <w:basedOn w:val="1105"/>
    <w:next w:val="1105"/>
    <w:uiPriority w:val="0"/>
    <w:qFormat/>
    <w:rPr>
      <w:rFonts w:ascii="Times New Roman" w:hAnsi="Times New Roman" w:eastAsia="宋体" w:cs="Times New Roman"/>
      <w:b/>
      <w:bCs/>
    </w:rPr>
  </w:style>
  <w:style w:type="paragraph" w:styleId="1146" w:customStyle="1">
    <w:name w:val="正文首行缩进 211"/>
    <w:basedOn w:val="1109"/>
    <w:link w:val="1147"/>
    <w:uiPriority w:val="0"/>
    <w:qFormat/>
    <w:pPr>
      <w:ind w:left="420" w:firstLine="420"/>
      <w:spacing w:after="120" w:line="240" w:lineRule="auto"/>
    </w:pPr>
    <w:rPr>
      <w:rFonts w:ascii="Times New Roman" w:hAnsi="Times New Roman" w:eastAsia="宋体"/>
      <w:sz w:val="21"/>
    </w:rPr>
  </w:style>
  <w:style w:type="character" w:styleId="1147" w:customStyle="1">
    <w:name w:val="正文首行缩进 2 字符"/>
    <w:link w:val="1146"/>
    <w:uiPriority w:val="0"/>
    <w:qFormat/>
    <w:rPr>
      <w:rFonts w:ascii="Times New Roman" w:hAnsi="Times New Roman" w:eastAsia="宋体" w:cs="Times New Roman"/>
      <w:sz w:val="21"/>
    </w:rPr>
  </w:style>
  <w:style w:type="table" w:styleId="1148" w:customStyle="1">
    <w:name w:val="网格型1"/>
    <w:basedOn w:val="1097"/>
    <w:uiPriority w:val="0"/>
    <w:qFormat/>
    <w:rPr>
      <w:rFonts w:ascii="Times New Roman" w:hAnsi="Times New Roman" w:eastAsia="宋体" w:cs="Times New Roman"/>
    </w:rPr>
    <w:tblPr/>
  </w:style>
  <w:style w:type="character" w:styleId="1149" w:customStyle="1">
    <w:name w:val="要点1"/>
    <w:link w:val="907"/>
    <w:uiPriority w:val="0"/>
    <w:qFormat/>
    <w:rPr>
      <w:rFonts w:ascii="Times New Roman" w:hAnsi="Times New Roman" w:eastAsia="宋体" w:cs="Times New Roman"/>
      <w:b/>
    </w:rPr>
  </w:style>
  <w:style w:type="character" w:styleId="1150" w:customStyle="1">
    <w:name w:val="尾注引用1"/>
    <w:link w:val="907"/>
    <w:uiPriority w:val="0"/>
    <w:qFormat/>
    <w:rPr>
      <w:rFonts w:ascii="Times New Roman" w:hAnsi="Times New Roman" w:eastAsia="宋体" w:cs="Times New Roman"/>
      <w:vertAlign w:val="superscript"/>
    </w:rPr>
  </w:style>
  <w:style w:type="character" w:styleId="1151" w:customStyle="1">
    <w:name w:val="页码1"/>
    <w:link w:val="907"/>
    <w:uiPriority w:val="0"/>
    <w:qFormat/>
    <w:rPr>
      <w:rFonts w:ascii="Times New Roman" w:hAnsi="Times New Roman" w:eastAsia="宋体" w:cs="Times New Roman"/>
    </w:rPr>
  </w:style>
  <w:style w:type="character" w:styleId="1152" w:customStyle="1">
    <w:name w:val="已访问的超链接1"/>
    <w:link w:val="907"/>
    <w:uiPriority w:val="0"/>
    <w:qFormat/>
    <w:rPr>
      <w:rFonts w:ascii="Times New Roman" w:hAnsi="Times New Roman" w:eastAsia="宋体" w:cs="Times New Roman"/>
      <w:color w:val="333333"/>
      <w:u w:val="none"/>
    </w:rPr>
  </w:style>
  <w:style w:type="character" w:styleId="1153" w:customStyle="1">
    <w:name w:val="强调1"/>
    <w:link w:val="907"/>
    <w:uiPriority w:val="0"/>
    <w:qFormat/>
    <w:rPr>
      <w:rFonts w:ascii="Times New Roman" w:hAnsi="Times New Roman" w:eastAsia="宋体" w:cs="Times New Roman"/>
    </w:rPr>
  </w:style>
  <w:style w:type="character" w:styleId="1154" w:customStyle="1">
    <w:name w:val="超链接1"/>
    <w:link w:val="907"/>
    <w:uiPriority w:val="0"/>
    <w:qFormat/>
    <w:rPr>
      <w:rFonts w:ascii="Times New Roman" w:hAnsi="Times New Roman" w:eastAsia="宋体" w:cs="Times New Roman"/>
      <w:color w:val="333333"/>
      <w:u w:val="none"/>
    </w:rPr>
  </w:style>
  <w:style w:type="character" w:styleId="1155" w:customStyle="1">
    <w:name w:val="批注引用1"/>
    <w:link w:val="907"/>
    <w:uiPriority w:val="0"/>
    <w:qFormat/>
    <w:rPr>
      <w:rFonts w:ascii="Times New Roman" w:hAnsi="Times New Roman" w:eastAsia="宋体" w:cs="Times New Roman"/>
      <w:sz w:val="21"/>
      <w:szCs w:val="21"/>
    </w:rPr>
  </w:style>
  <w:style w:type="character" w:styleId="1156" w:customStyle="1">
    <w:name w:val="脚注引用1"/>
    <w:link w:val="907"/>
    <w:uiPriority w:val="0"/>
    <w:qFormat/>
    <w:rPr>
      <w:rFonts w:ascii="Times New Roman" w:hAnsi="Times New Roman" w:eastAsia="宋体" w:cs="Times New Roman"/>
      <w:vertAlign w:val="superscript"/>
    </w:rPr>
  </w:style>
  <w:style w:type="paragraph" w:styleId="1157" w:customStyle="1">
    <w:name w:val="段"/>
    <w:next w:val="90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58" w:customStyle="1">
    <w:name w:val="Plain Text Char"/>
    <w:link w:val="1159"/>
    <w:uiPriority w:val="0"/>
    <w:qFormat/>
    <w:rPr>
      <w:rFonts w:ascii="宋体" w:hAnsi="Courier New" w:eastAsia="楷体_GB2312" w:cs="Times New Roman"/>
      <w:sz w:val="26"/>
    </w:rPr>
  </w:style>
  <w:style w:type="paragraph" w:styleId="1159" w:customStyle="1">
    <w:name w:val="纯文本3"/>
    <w:basedOn w:val="907"/>
    <w:link w:val="1158"/>
    <w:uiPriority w:val="0"/>
    <w:qFormat/>
    <w:rPr>
      <w:rFonts w:ascii="宋体" w:hAnsi="Courier New"/>
    </w:rPr>
  </w:style>
  <w:style w:type="character" w:styleId="1160" w:customStyle="1">
    <w:name w:val="NormalCharacter1"/>
    <w:link w:val="907"/>
    <w:uiPriority w:val="0"/>
    <w:qFormat/>
    <w:rPr>
      <w:rFonts w:ascii="Times New Roman" w:hAnsi="Times New Roman" w:eastAsia="宋体" w:cs="Times New Roman"/>
    </w:rPr>
  </w:style>
  <w:style w:type="paragraph" w:styleId="1161" w:customStyle="1">
    <w:name w:val="Style1"/>
    <w:basedOn w:val="907"/>
    <w:uiPriority w:val="0"/>
    <w:qFormat/>
    <w:pPr>
      <w:widowControl/>
      <w:tabs>
        <w:tab w:val="left" w:pos="-720" w:leader="none"/>
      </w:tabs>
    </w:pPr>
    <w:rPr>
      <w:rFonts w:ascii="Times New Roman" w:hAnsi="Times New Roman" w:eastAsia="宋体" w:cs="Times New Roman"/>
      <w:spacing w:val="-3"/>
      <w:sz w:val="24"/>
      <w:lang w:val="en-AU" w:eastAsia="en-US"/>
    </w:rPr>
  </w:style>
  <w:style w:type="character" w:styleId="1162" w:customStyle="1">
    <w:name w:val="Plain Text Char Char"/>
    <w:link w:val="1163"/>
    <w:uiPriority w:val="0"/>
    <w:qFormat/>
    <w:rPr>
      <w:rFonts w:ascii="宋体" w:hAnsi="Courier New" w:eastAsia="楷体_GB2312" w:cs="Times New Roman"/>
      <w:sz w:val="26"/>
    </w:rPr>
  </w:style>
  <w:style w:type="paragraph" w:styleId="1163" w:customStyle="1">
    <w:name w:val="纯文本31"/>
    <w:basedOn w:val="907"/>
    <w:link w:val="1162"/>
    <w:uiPriority w:val="0"/>
    <w:qFormat/>
    <w:rPr>
      <w:rFonts w:ascii="宋体" w:hAnsi="Courier New"/>
    </w:rPr>
  </w:style>
  <w:style w:type="character" w:styleId="1164" w:customStyle="1">
    <w:name w:val="Andy_正文 Char"/>
    <w:link w:val="1165"/>
    <w:uiPriority w:val="0"/>
    <w:qFormat/>
    <w:rPr>
      <w:rFonts w:ascii="Calibri" w:hAnsi="Calibri" w:eastAsia="宋体" w:cs="Times New Roman"/>
      <w:sz w:val="24"/>
      <w:szCs w:val="24"/>
    </w:rPr>
  </w:style>
  <w:style w:type="paragraph" w:styleId="1165" w:customStyle="1">
    <w:name w:val="Andy_正文"/>
    <w:basedOn w:val="907"/>
    <w:link w:val="1164"/>
    <w:uiPriority w:val="0"/>
    <w:qFormat/>
    <w:pPr>
      <w:ind w:firstLine="480"/>
      <w:spacing w:line="360" w:lineRule="auto"/>
    </w:pPr>
    <w:rPr>
      <w:rFonts w:ascii="Calibri" w:hAnsi="Calibri" w:eastAsia="宋体"/>
      <w:sz w:val="24"/>
      <w:szCs w:val="24"/>
    </w:rPr>
  </w:style>
  <w:style w:type="paragraph" w:styleId="1166" w:customStyle="1">
    <w:name w:val="纯文本21"/>
    <w:basedOn w:val="907"/>
    <w:uiPriority w:val="0"/>
    <w:qFormat/>
    <w:rPr>
      <w:rFonts w:ascii="宋体" w:hAnsi="Courier New" w:eastAsia="宋体" w:cs="Times New Roman"/>
      <w:sz w:val="26"/>
      <w:szCs w:val="20"/>
    </w:rPr>
  </w:style>
  <w:style w:type="paragraph" w:styleId="1167" w:customStyle="1">
    <w:name w:val="纯文本2"/>
    <w:basedOn w:val="907"/>
    <w:uiPriority w:val="0"/>
    <w:qFormat/>
    <w:rPr>
      <w:rFonts w:ascii="宋体" w:hAnsi="Courier New" w:eastAsia="宋体" w:cs="Times New Roman"/>
    </w:rPr>
  </w:style>
  <w:style w:type="paragraph" w:styleId="1168" w:customStyle="1">
    <w:name w:val="列出段落"/>
    <w:basedOn w:val="907"/>
    <w:uiPriority w:val="0"/>
    <w:qFormat/>
    <w:pPr>
      <w:ind w:firstLine="420"/>
    </w:pPr>
    <w:rPr>
      <w:rFonts w:ascii="Times New Roman" w:hAnsi="Times New Roman" w:eastAsia="宋体" w:cs="Times New Roman"/>
    </w:rPr>
  </w:style>
  <w:style w:type="paragraph" w:styleId="1169" w:customStyle="1">
    <w:name w:val="正文文本缩进1"/>
    <w:basedOn w:val="907"/>
    <w:uiPriority w:val="0"/>
    <w:qFormat/>
    <w:pPr>
      <w:ind w:left="420"/>
      <w:spacing w:after="120"/>
    </w:pPr>
    <w:rPr>
      <w:rFonts w:ascii="Times New Roman" w:hAnsi="Times New Roman" w:eastAsia="宋体" w:cs="Times New Roman"/>
      <w:szCs w:val="21"/>
    </w:rPr>
  </w:style>
  <w:style w:type="paragraph" w:styleId="1170" w:customStyle="1">
    <w:name w:val="正文首行缩进 21"/>
    <w:basedOn w:val="1169"/>
    <w:uiPriority w:val="0"/>
    <w:qFormat/>
    <w:pPr>
      <w:ind w:firstLine="420"/>
    </w:pPr>
    <w:rPr>
      <w:rFonts w:ascii="Times New Roman" w:hAnsi="Times New Roman" w:eastAsia="宋体" w:cs="Times New Roman"/>
    </w:rPr>
  </w:style>
  <w:style w:type="character" w:styleId="1171" w:customStyle="1">
    <w:name w:val="ca-221"/>
    <w:link w:val="907"/>
    <w:uiPriority w:val="0"/>
    <w:qFormat/>
    <w:rPr>
      <w:rFonts w:hint="eastAsia" w:ascii="宋体" w:hAnsi="宋体" w:eastAsia="宋体" w:cs="Times New Roman"/>
      <w:color w:val="ff0000"/>
      <w:sz w:val="24"/>
      <w:szCs w:val="24"/>
    </w:rPr>
  </w:style>
  <w:style w:type="paragraph" w:styleId="1172" w:customStyle="1">
    <w:name w:val="Andy_2级"/>
    <w:basedOn w:val="907"/>
    <w:link w:val="1173"/>
    <w:uiPriority w:val="0"/>
    <w:qFormat/>
    <w:pPr>
      <w:ind w:firstLine="510"/>
      <w:spacing w:line="360" w:lineRule="auto"/>
    </w:pPr>
    <w:rPr>
      <w:rFonts w:ascii="Calibri" w:hAnsi="Calibri" w:eastAsia="宋体"/>
      <w:sz w:val="24"/>
    </w:rPr>
  </w:style>
  <w:style w:type="character" w:styleId="1173" w:customStyle="1">
    <w:name w:val="Andy_2级 Char"/>
    <w:link w:val="1172"/>
    <w:uiPriority w:val="0"/>
    <w:qFormat/>
    <w:rPr>
      <w:rFonts w:ascii="Calibri" w:hAnsi="Calibri" w:eastAsia="宋体" w:cs="Times New Roman"/>
      <w:sz w:val="24"/>
      <w:lang w:val="en-US" w:eastAsia="zh-CN" w:bidi="ar-SA"/>
    </w:rPr>
  </w:style>
  <w:style w:type="character" w:styleId="1174" w:customStyle="1">
    <w:name w:val="表正文 Char1"/>
    <w:link w:val="907"/>
    <w:uiPriority w:val="0"/>
    <w:qFormat/>
    <w:rPr>
      <w:rFonts w:ascii="Times New Roman" w:hAnsi="Times New Roman" w:eastAsia="楷体_GB2312" w:cs="Times New Roman"/>
      <w:sz w:val="24"/>
      <w:lang w:val="en-US" w:eastAsia="zh-CN" w:bidi="ar-SA"/>
    </w:rPr>
  </w:style>
  <w:style w:type="paragraph" w:styleId="1175" w:customStyle="1">
    <w:name w:val="xl9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176" w:customStyle="1">
    <w:name w:val="列出段落1"/>
    <w:basedOn w:val="907"/>
    <w:uiPriority w:val="0"/>
    <w:qFormat/>
    <w:pPr>
      <w:ind w:firstLine="420"/>
    </w:pPr>
    <w:rPr>
      <w:rFonts w:ascii="Times New Roman" w:hAnsi="Times New Roman" w:eastAsia="宋体" w:cs="Times New Roman"/>
    </w:rPr>
  </w:style>
  <w:style w:type="paragraph" w:styleId="1177" w:customStyle="1">
    <w:name w:val="列出段落3"/>
    <w:basedOn w:val="907"/>
    <w:uiPriority w:val="0"/>
    <w:qFormat/>
    <w:pPr>
      <w:ind w:firstLine="420"/>
    </w:pPr>
    <w:rPr>
      <w:rFonts w:ascii="Calibri" w:hAnsi="Calibri" w:eastAsia="宋体" w:cs="Times New Roman"/>
      <w:sz w:val="21"/>
      <w:szCs w:val="22"/>
    </w:rPr>
  </w:style>
  <w:style w:type="paragraph" w:styleId="1178" w:customStyle="1">
    <w:name w:val="xl7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79" w:customStyle="1">
    <w:name w:val="纯文本1"/>
    <w:basedOn w:val="907"/>
    <w:uiPriority w:val="0"/>
    <w:qFormat/>
    <w:rPr>
      <w:rFonts w:ascii="宋体" w:hAnsi="Courier New" w:eastAsia="宋体" w:cs="Times New Roman"/>
    </w:rPr>
  </w:style>
  <w:style w:type="paragraph" w:styleId="1180" w:customStyle="1">
    <w:name w:val="xl66"/>
    <w:basedOn w:val="907"/>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81" w:customStyle="1">
    <w:name w:val="xl85"/>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182" w:customStyle="1">
    <w:name w:val="xl9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3" w:customStyle="1">
    <w:name w:val="xl80"/>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84" w:customStyle="1">
    <w:name w:val="_Style 30"/>
    <w:basedOn w:val="907"/>
    <w:next w:val="1115"/>
    <w:uiPriority w:val="0"/>
    <w:qFormat/>
    <w:rPr>
      <w:rFonts w:ascii="宋体" w:hAnsi="Courier New" w:eastAsia="宋体" w:cs="Times New Roman"/>
      <w:sz w:val="21"/>
    </w:rPr>
  </w:style>
  <w:style w:type="paragraph" w:styleId="1185" w:customStyle="1">
    <w:name w:val="xl70"/>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186" w:customStyle="1">
    <w:name w:val="xl82"/>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187" w:customStyle="1">
    <w:name w:val="Plain Text1"/>
    <w:basedOn w:val="907"/>
    <w:uiPriority w:val="0"/>
    <w:qFormat/>
    <w:rPr>
      <w:rFonts w:ascii="宋体" w:hAnsi="Courier New" w:eastAsia="宋体" w:cs="Times New Roman"/>
      <w:sz w:val="28"/>
    </w:rPr>
  </w:style>
  <w:style w:type="paragraph" w:styleId="1188" w:customStyle="1">
    <w:name w:val="*正文"/>
    <w:basedOn w:val="907"/>
    <w:uiPriority w:val="0"/>
    <w:qFormat/>
    <w:pPr>
      <w:ind w:firstLine="200"/>
      <w:spacing w:line="360" w:lineRule="auto"/>
      <w:widowControl/>
    </w:pPr>
    <w:rPr>
      <w:rFonts w:ascii="仿宋_GB2312" w:hAnsi="Calibri" w:eastAsia="仿宋_GB2312" w:cs="Times New Roman"/>
      <w:sz w:val="24"/>
      <w:szCs w:val="28"/>
    </w:rPr>
  </w:style>
  <w:style w:type="paragraph" w:styleId="1189" w:customStyle="1">
    <w:name w:val="xl71"/>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190" w:customStyle="1">
    <w:name w:val="xl94"/>
    <w:basedOn w:val="907"/>
    <w:uiPriority w:val="0"/>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191" w:customStyle="1">
    <w:name w:val="xl92"/>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92" w:customStyle="1">
    <w:name w:val="p0"/>
    <w:basedOn w:val="907"/>
    <w:uiPriority w:val="0"/>
    <w:qFormat/>
    <w:pPr>
      <w:widowControl/>
    </w:pPr>
    <w:rPr>
      <w:rFonts w:ascii="宋体" w:hAnsi="Times New Roman" w:eastAsia="宋体" w:cs="Times New Roman"/>
      <w:sz w:val="24"/>
      <w:szCs w:val="21"/>
    </w:rPr>
  </w:style>
  <w:style w:type="paragraph" w:styleId="1193" w:customStyle="1">
    <w:name w:val="xl8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194" w:customStyle="1">
    <w:name w:val="Char1"/>
    <w:basedOn w:val="907"/>
    <w:uiPriority w:val="0"/>
    <w:qFormat/>
    <w:rPr>
      <w:rFonts w:ascii="Tahoma" w:hAnsi="Tahoma" w:eastAsia="宋体" w:cs="Times New Roman"/>
      <w:sz w:val="24"/>
    </w:rPr>
  </w:style>
  <w:style w:type="paragraph" w:styleId="1195" w:customStyle="1">
    <w:name w:val="列出段落2"/>
    <w:basedOn w:val="907"/>
    <w:uiPriority w:val="0"/>
    <w:qFormat/>
    <w:pPr>
      <w:ind w:firstLine="420"/>
    </w:pPr>
    <w:rPr>
      <w:rFonts w:ascii="Calibri" w:hAnsi="Calibri" w:eastAsia="宋体" w:cs="Times New Roman"/>
      <w:sz w:val="21"/>
      <w:szCs w:val="22"/>
    </w:rPr>
  </w:style>
  <w:style w:type="paragraph" w:styleId="1196" w:customStyle="1">
    <w:name w:val="xl73"/>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7" w:customStyle="1">
    <w:name w:val="xl91"/>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98" w:customStyle="1">
    <w:name w:val="Char Char Char"/>
    <w:basedOn w:val="907"/>
    <w:uiPriority w:val="0"/>
    <w:qFormat/>
    <w:pPr>
      <w:ind w:left="360" w:hanging="360"/>
      <w:tabs>
        <w:tab w:val="left" w:pos="360" w:leader="none"/>
      </w:tabs>
    </w:pPr>
    <w:rPr>
      <w:rFonts w:ascii="Times New Roman" w:hAnsi="Times New Roman" w:eastAsia="宋体" w:cs="Times New Roman"/>
      <w:sz w:val="24"/>
      <w:szCs w:val="24"/>
    </w:rPr>
  </w:style>
  <w:style w:type="paragraph" w:styleId="1199" w:customStyle="1">
    <w:name w:val="xl7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00" w:customStyle="1">
    <w:name w:val="xl8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201" w:customStyle="1">
    <w:name w:val="纯文本5"/>
    <w:basedOn w:val="907"/>
    <w:uiPriority w:val="0"/>
    <w:qFormat/>
    <w:rPr>
      <w:rFonts w:ascii="宋体" w:hAnsi="Courier New" w:eastAsia="宋体" w:cs="Times New Roman"/>
      <w:szCs w:val="24"/>
    </w:rPr>
  </w:style>
  <w:style w:type="paragraph" w:styleId="1202" w:customStyle="1">
    <w:name w:val="xl72"/>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03" w:customStyle="1">
    <w:name w:val="Char Char Char Char"/>
    <w:basedOn w:val="1104"/>
    <w:uiPriority w:val="0"/>
    <w:qFormat/>
    <w:pPr>
      <w:ind w:left="357"/>
      <w:jc w:val="left"/>
      <w:spacing w:line="436" w:lineRule="exact"/>
      <w:outlineLvl w:val="3"/>
    </w:pPr>
    <w:rPr>
      <w:rFonts w:ascii="Tahoma" w:hAnsi="Tahoma" w:eastAsia="宋体" w:cs="Times New Roman"/>
      <w:b/>
      <w:sz w:val="24"/>
      <w:szCs w:val="24"/>
    </w:rPr>
  </w:style>
  <w:style w:type="paragraph" w:styleId="1204" w:customStyle="1">
    <w:name w:val="xl7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05" w:customStyle="1">
    <w:name w:val="xl93"/>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206" w:customStyle="1">
    <w:name w:val="xl8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07" w:customStyle="1">
    <w:name w:val="xl84"/>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208" w:customStyle="1">
    <w:name w:val="Char Char3"/>
    <w:basedOn w:val="907"/>
    <w:uiPriority w:val="0"/>
    <w:qFormat/>
    <w:pPr>
      <w:jc w:val="left"/>
      <w:spacing w:after="160" w:line="240" w:lineRule="exact"/>
      <w:widowControl/>
    </w:pPr>
    <w:rPr>
      <w:rFonts w:ascii="Times New Roman" w:hAnsi="Times New Roman" w:eastAsia="宋体" w:cs="Times New Roman"/>
      <w:sz w:val="24"/>
      <w:szCs w:val="24"/>
    </w:rPr>
  </w:style>
  <w:style w:type="paragraph" w:styleId="1209" w:customStyle="1">
    <w:name w:val="纯文本6"/>
    <w:basedOn w:val="907"/>
    <w:uiPriority w:val="0"/>
    <w:qFormat/>
    <w:rPr>
      <w:rFonts w:ascii="宋体" w:hAnsi="Courier New" w:eastAsia="宋体" w:cs="Times New Roman"/>
    </w:rPr>
  </w:style>
  <w:style w:type="paragraph" w:styleId="121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11" w:customStyle="1">
    <w:name w:val="xl69"/>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212" w:customStyle="1">
    <w:name w:val="xl7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13" w:customStyle="1">
    <w:name w:val="纯文本4"/>
    <w:basedOn w:val="907"/>
    <w:uiPriority w:val="0"/>
    <w:qFormat/>
    <w:rPr>
      <w:rFonts w:ascii="宋体" w:hAnsi="Courier New" w:eastAsia="宋体" w:cs="Times New Roman"/>
    </w:rPr>
  </w:style>
  <w:style w:type="paragraph" w:styleId="1214" w:customStyle="1">
    <w:name w:val="xl87"/>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215" w:customStyle="1">
    <w:name w:val="xl95"/>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16" w:customStyle="1">
    <w:name w:val="xl75"/>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17" w:customStyle="1">
    <w:name w:val="xl81"/>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18" w:customStyle="1">
    <w:name w:val="xl8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219" w:customStyle="1">
    <w:name w:val="xl74"/>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customStyle="1">
    <w:name w:val="_Style 79"/>
    <w:uiPriority w:val="0"/>
    <w:qFormat/>
    <w:rPr>
      <w:rFonts w:hint="default" w:ascii="Times New Roman" w:hAnsi="Times New Roman" w:eastAsia="楷体_GB2312" w:cs="Times New Roman"/>
      <w:sz w:val="26"/>
      <w:lang w:val="en-US" w:eastAsia="zh-CN" w:bidi="ar-SA"/>
    </w:rPr>
  </w:style>
  <w:style w:type="paragraph" w:styleId="1221" w:customStyle="1">
    <w:name w:val="xl90"/>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22" w:customStyle="1">
    <w:name w:val="Char"/>
    <w:basedOn w:val="907"/>
    <w:uiPriority w:val="0"/>
    <w:qFormat/>
    <w:pPr>
      <w:jc w:val="left"/>
      <w:spacing w:line="240" w:lineRule="exact"/>
      <w:widowControl/>
    </w:pPr>
    <w:rPr>
      <w:rFonts w:ascii="Verdana" w:hAnsi="Verdana" w:eastAsia="仿宋_GB2312" w:cs="Times New Roman"/>
      <w:sz w:val="24"/>
      <w:lang w:eastAsia="en-US"/>
    </w:rPr>
  </w:style>
  <w:style w:type="paragraph" w:styleId="1223" w:customStyle="1">
    <w:name w:val="xl68"/>
    <w:basedOn w:val="907"/>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224" w:customStyle="1">
    <w:name w:val="xl67"/>
    <w:basedOn w:val="907"/>
    <w:uiPriority w:val="0"/>
    <w:qFormat/>
    <w:pPr>
      <w:jc w:val="left"/>
      <w:spacing w:before="100" w:beforeAutospacing="1" w:after="100" w:afterAutospacing="1"/>
      <w:widowControl/>
    </w:pPr>
    <w:rPr>
      <w:rFonts w:ascii="仿宋_GB2312" w:hAnsi="宋体" w:eastAsia="仿宋_GB2312" w:cs="宋体"/>
      <w:sz w:val="20"/>
    </w:rPr>
  </w:style>
  <w:style w:type="table" w:styleId="1225" w:customStyle="1">
    <w:name w:val="TableGrid1"/>
    <w:uiPriority w:val="0"/>
    <w:qFormat/>
    <w:rPr>
      <w:sz w:val="21"/>
      <w:szCs w:val="22"/>
      <w:lang w:val="en-US" w:eastAsia="zh-CN" w:bidi="ar-SA"/>
    </w:rPr>
    <w:tblPr/>
  </w:style>
  <w:style w:type="character" w:styleId="1226" w:customStyle="1">
    <w:name w:val="font01"/>
    <w:link w:val="907"/>
    <w:uiPriority w:val="0"/>
    <w:qFormat/>
    <w:rPr>
      <w:rFonts w:hint="eastAsia" w:ascii="宋体" w:hAnsi="宋体" w:eastAsia="宋体" w:cs="宋体"/>
      <w:color w:val="ff0000"/>
      <w:sz w:val="32"/>
      <w:szCs w:val="32"/>
      <w:u w:val="none"/>
    </w:rPr>
  </w:style>
  <w:style w:type="character" w:styleId="1227" w:customStyle="1">
    <w:name w:val="font31"/>
    <w:link w:val="907"/>
    <w:uiPriority w:val="0"/>
    <w:qFormat/>
    <w:rPr>
      <w:rFonts w:hint="eastAsia" w:ascii="楷体_GB2312" w:hAnsi="Times New Roman" w:eastAsia="楷体_GB2312" w:cs="楷体_GB2312"/>
      <w:color w:val="000000"/>
      <w:sz w:val="36"/>
      <w:szCs w:val="36"/>
      <w:u w:val="none"/>
    </w:rPr>
  </w:style>
  <w:style w:type="paragraph" w:styleId="1228" w:customStyle="1">
    <w:name w:val="修订"/>
    <w:uiPriority w:val="0"/>
    <w:qFormat/>
    <w:rPr>
      <w:rFonts w:hint="default" w:ascii="Times New Roman" w:hAnsi="Times New Roman" w:eastAsia="楷体_GB2312" w:cs="Times New Roman"/>
      <w:sz w:val="26"/>
      <w:lang w:val="en-US" w:eastAsia="zh-CN" w:bidi="ar-SA"/>
    </w:rPr>
  </w:style>
  <w:style w:type="paragraph" w:styleId="1229" w:customStyle="1">
    <w:name w:val="正文1"/>
    <w:basedOn w:val="907"/>
    <w:next w:val="907"/>
    <w:uiPriority w:val="0"/>
    <w:qFormat/>
    <w:pPr>
      <w:ind w:left="420" w:firstLine="527"/>
      <w:jc w:val="both"/>
      <w:spacing w:line="360" w:lineRule="auto"/>
      <w:widowControl w:val="off"/>
    </w:pPr>
    <w:rPr>
      <w:rFonts w:ascii="宋体" w:hAnsi="宋体" w:eastAsia="宋体" w:cs="Times New Roman"/>
      <w:szCs w:val="20"/>
    </w:rPr>
  </w:style>
  <w:style w:type="paragraph" w:styleId="1230" w:customStyle="1">
    <w:name w:val="首行缩进"/>
    <w:basedOn w:val="907"/>
    <w:uiPriority w:val="0"/>
    <w:qFormat/>
    <w:pPr>
      <w:ind w:firstLine="480"/>
    </w:pPr>
    <w:rPr>
      <w:rFonts w:ascii="Times New Roman" w:hAnsi="Times New Roman" w:cs="Times New Roman"/>
      <w:lang w:val="zh-CN"/>
    </w:rPr>
  </w:style>
  <w:style w:type="paragraph" w:styleId="1231" w:customStyle="1">
    <w:name w:val="WPSOffice手动目录 1"/>
    <w:uiPriority w:val="0"/>
    <w:qFormat/>
    <w:rPr>
      <w:rFonts w:hint="default" w:ascii="Times New Roman" w:hAnsi="Times New Roman" w:eastAsia="宋体" w:cs="Times New Roman"/>
      <w:lang w:val="en-US" w:eastAsia="zh-CN" w:bidi="ar-SA"/>
    </w:rPr>
  </w:style>
  <w:style w:type="character" w:styleId="1232" w:customStyle="1">
    <w:name w:val="font11"/>
    <w:link w:val="907"/>
    <w:uiPriority w:val="0"/>
    <w:qFormat/>
    <w:rPr>
      <w:rFonts w:hint="eastAsia" w:ascii="宋体" w:hAnsi="宋体" w:eastAsia="宋体" w:cs="宋体"/>
      <w:color w:val="000000"/>
      <w:sz w:val="18"/>
      <w:szCs w:val="18"/>
      <w:u w:val="none"/>
    </w:rPr>
  </w:style>
  <w:style w:type="paragraph" w:styleId="1233" w:customStyle="1">
    <w:name w:val="正文缩进1"/>
    <w:basedOn w:val="907"/>
    <w:next w:val="907"/>
    <w:uiPriority w:val="0"/>
    <w:qFormat/>
    <w:pPr>
      <w:ind w:firstLine="420"/>
      <w:jc w:val="left"/>
    </w:pPr>
    <w:rPr>
      <w:sz w:val="24"/>
    </w:rPr>
  </w:style>
  <w:style w:type="numbering" w:styleId="1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刘嘉璐</cp:lastModifiedBy>
  <cp:revision>13</cp:revision>
  <dcterms:created xsi:type="dcterms:W3CDTF">2025-04-02T12:17:00Z</dcterms:created>
  <dcterms:modified xsi:type="dcterms:W3CDTF">2025-12-22T05:38:48Z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eyJoZGlkIjoiOTY1ZWIyYzA1MmJiZDdiM2U3MDg2ZTQxMDc1MDA4MTEiLCJ1c2VySWQiOiI3MzU4NTg2MTYifQ==</vt:lpwstr>
  </property>
  <property fmtid="{D5CDD505-2E9C-101B-9397-08002B2CF9AE}" pid="3" name="KSOProductBuildVer">
    <vt:lpwstr>2052-12.1.0.24034</vt:lpwstr>
  </property>
  <property fmtid="{D5CDD505-2E9C-101B-9397-08002B2CF9AE}" pid="4" name="ICV">
    <vt:lpwstr>BD17D1BC635147A1A4C89C97CB430781_13</vt:lpwstr>
  </property>
</Properties>
</file>